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ABC" w:rsidRDefault="008E2ABC" w:rsidP="008E2ABC">
      <w:pPr>
        <w:pStyle w:val="BodyTextIndent"/>
        <w:spacing w:line="240" w:lineRule="auto"/>
        <w:ind w:left="2693"/>
        <w:jc w:val="both"/>
        <w:rPr>
          <w:rFonts w:ascii="Times New Roman" w:hAnsi="Times New Roman"/>
          <w:sz w:val="28"/>
          <w:szCs w:val="20"/>
        </w:rPr>
      </w:pPr>
      <w:bookmarkStart w:id="0" w:name="_GoBack"/>
      <w:bookmarkEnd w:id="0"/>
      <w:r>
        <w:rPr>
          <w:rFonts w:ascii="Times New Roman" w:hAnsi="Times New Roman"/>
          <w:sz w:val="28"/>
          <w:szCs w:val="20"/>
        </w:rPr>
        <w:t>© Е.I. Tkachenko, Е.B. Avalueva, E.V. Skazyvaeva, S.V. Ivanov, I.V. Lapinskii, A.V.  Pushkina, 2014</w:t>
      </w:r>
    </w:p>
    <w:p w:rsidR="008E2ABC" w:rsidRDefault="008E2ABC" w:rsidP="00B84AC1">
      <w:pPr>
        <w:spacing w:after="0" w:line="360" w:lineRule="auto"/>
        <w:jc w:val="center"/>
        <w:rPr>
          <w:rFonts w:ascii="Times New Roman" w:hAnsi="Times New Roman"/>
          <w:b/>
          <w:sz w:val="28"/>
          <w:szCs w:val="28"/>
          <w:lang w:val="en-US"/>
        </w:rPr>
      </w:pPr>
    </w:p>
    <w:p w:rsidR="00B84AC1" w:rsidRDefault="00B84AC1" w:rsidP="00B84AC1">
      <w:pPr>
        <w:spacing w:after="0" w:line="360" w:lineRule="auto"/>
        <w:jc w:val="center"/>
        <w:rPr>
          <w:rFonts w:ascii="Times New Roman" w:hAnsi="Times New Roman"/>
          <w:b/>
          <w:sz w:val="28"/>
          <w:szCs w:val="28"/>
          <w:lang w:val="en-US"/>
        </w:rPr>
      </w:pPr>
      <w:r w:rsidRPr="00DC673A">
        <w:rPr>
          <w:rFonts w:ascii="Times New Roman" w:hAnsi="Times New Roman"/>
          <w:b/>
          <w:sz w:val="28"/>
          <w:szCs w:val="28"/>
          <w:lang w:val="en-US"/>
        </w:rPr>
        <w:t xml:space="preserve">EFFICIENCY </w:t>
      </w:r>
      <w:r>
        <w:rPr>
          <w:rFonts w:ascii="Times New Roman" w:hAnsi="Times New Roman"/>
          <w:b/>
          <w:sz w:val="28"/>
          <w:szCs w:val="28"/>
          <w:lang w:val="en-US"/>
        </w:rPr>
        <w:t xml:space="preserve">AND SAFETY </w:t>
      </w:r>
      <w:r w:rsidRPr="00DC673A">
        <w:rPr>
          <w:rFonts w:ascii="Times New Roman" w:hAnsi="Times New Roman"/>
          <w:b/>
          <w:sz w:val="28"/>
          <w:szCs w:val="28"/>
          <w:lang w:val="en-US"/>
        </w:rPr>
        <w:t xml:space="preserve">OF SILICON-CONTAINING </w:t>
      </w:r>
      <w:r>
        <w:rPr>
          <w:rFonts w:ascii="Times New Roman" w:hAnsi="Times New Roman"/>
          <w:b/>
          <w:sz w:val="28"/>
          <w:szCs w:val="28"/>
          <w:lang w:val="en-US"/>
        </w:rPr>
        <w:t>ENTEROSORBENT</w:t>
      </w:r>
      <w:r w:rsidRPr="00DC673A">
        <w:rPr>
          <w:rFonts w:ascii="Times New Roman" w:hAnsi="Times New Roman"/>
          <w:b/>
          <w:sz w:val="28"/>
          <w:szCs w:val="28"/>
          <w:lang w:val="en-US"/>
        </w:rPr>
        <w:t xml:space="preserve"> IN THE TREATMENT OF IRRITABLE BOWEL SYNDROME</w:t>
      </w:r>
    </w:p>
    <w:p w:rsidR="00B84AC1" w:rsidRPr="00DC673A" w:rsidRDefault="00B84AC1" w:rsidP="00B84AC1">
      <w:pPr>
        <w:spacing w:after="0" w:line="360" w:lineRule="auto"/>
        <w:jc w:val="center"/>
        <w:rPr>
          <w:rFonts w:ascii="Times New Roman" w:hAnsi="Times New Roman"/>
          <w:sz w:val="28"/>
          <w:szCs w:val="28"/>
          <w:lang w:val="en-US"/>
        </w:rPr>
      </w:pPr>
      <w:r w:rsidRPr="00DC673A">
        <w:rPr>
          <w:rFonts w:ascii="Times New Roman" w:hAnsi="Times New Roman"/>
          <w:sz w:val="28"/>
          <w:szCs w:val="28"/>
          <w:lang w:val="en-US"/>
        </w:rPr>
        <w:t>Tkachenko E.I., Avalueva E.B., Skazyvaeva E.V., Ivanov.S.V., Pushkina A.V., Lapinskii I.V.</w:t>
      </w:r>
    </w:p>
    <w:p w:rsidR="00B84AC1" w:rsidRPr="008E5F8D" w:rsidRDefault="00B84AC1" w:rsidP="00B84AC1">
      <w:pPr>
        <w:spacing w:after="0" w:line="360" w:lineRule="auto"/>
        <w:jc w:val="center"/>
        <w:rPr>
          <w:rFonts w:ascii="Times New Roman" w:hAnsi="Times New Roman"/>
          <w:i/>
          <w:sz w:val="28"/>
          <w:szCs w:val="28"/>
          <w:lang w:val="en-US"/>
        </w:rPr>
      </w:pPr>
      <w:r>
        <w:rPr>
          <w:rFonts w:ascii="Times New Roman" w:hAnsi="Times New Roman"/>
          <w:i/>
          <w:sz w:val="28"/>
          <w:szCs w:val="28"/>
          <w:vertAlign w:val="superscript"/>
          <w:lang w:val="en-US"/>
        </w:rPr>
        <w:t>1</w:t>
      </w:r>
      <w:r w:rsidRPr="008E5F8D">
        <w:rPr>
          <w:rFonts w:ascii="Times New Roman" w:hAnsi="Times New Roman"/>
          <w:i/>
          <w:sz w:val="28"/>
          <w:szCs w:val="28"/>
          <w:lang w:val="en-US"/>
        </w:rPr>
        <w:t>North-West State Medical University named after I.I.Mechnikov,</w:t>
      </w:r>
    </w:p>
    <w:p w:rsidR="00B84AC1" w:rsidRPr="008E5F8D" w:rsidRDefault="00B84AC1" w:rsidP="00B84AC1">
      <w:pPr>
        <w:spacing w:after="0" w:line="360" w:lineRule="auto"/>
        <w:jc w:val="center"/>
        <w:rPr>
          <w:rFonts w:ascii="Times New Roman" w:hAnsi="Times New Roman"/>
          <w:i/>
          <w:sz w:val="28"/>
          <w:szCs w:val="28"/>
          <w:lang w:val="en-US"/>
        </w:rPr>
      </w:pPr>
      <w:r w:rsidRPr="008E5F8D">
        <w:rPr>
          <w:rFonts w:ascii="Times New Roman" w:hAnsi="Times New Roman"/>
          <w:i/>
          <w:sz w:val="28"/>
          <w:szCs w:val="28"/>
          <w:lang w:val="en-US"/>
        </w:rPr>
        <w:t>Saint-Petersburg, Russia</w:t>
      </w:r>
      <w:r w:rsidR="0092758B">
        <w:rPr>
          <w:rFonts w:ascii="Times New Roman" w:hAnsi="Times New Roman"/>
          <w:i/>
          <w:sz w:val="28"/>
          <w:szCs w:val="28"/>
          <w:lang w:val="en-US"/>
        </w:rPr>
        <w:t xml:space="preserve"> </w:t>
      </w:r>
    </w:p>
    <w:p w:rsidR="00B84AC1" w:rsidRPr="008E5F8D" w:rsidRDefault="00B84AC1" w:rsidP="00B84AC1">
      <w:pPr>
        <w:spacing w:after="0" w:line="240" w:lineRule="auto"/>
        <w:ind w:firstLine="709"/>
        <w:jc w:val="both"/>
        <w:rPr>
          <w:rFonts w:ascii="Times New Roman" w:hAnsi="Times New Roman"/>
          <w:sz w:val="28"/>
          <w:szCs w:val="28"/>
          <w:lang w:val="en-US"/>
        </w:rPr>
      </w:pPr>
    </w:p>
    <w:p w:rsidR="00B84AC1" w:rsidRPr="00200652" w:rsidRDefault="00B84AC1" w:rsidP="005324A2">
      <w:pPr>
        <w:spacing w:line="360" w:lineRule="auto"/>
        <w:jc w:val="both"/>
        <w:rPr>
          <w:rFonts w:ascii="Times New Roman" w:hAnsi="Times New Roman"/>
          <w:b/>
          <w:sz w:val="28"/>
          <w:szCs w:val="28"/>
          <w:lang w:val="en-US"/>
        </w:rPr>
      </w:pPr>
      <w:r w:rsidRPr="00200652">
        <w:rPr>
          <w:rFonts w:ascii="Times New Roman" w:hAnsi="Times New Roman"/>
          <w:sz w:val="28"/>
          <w:szCs w:val="28"/>
        </w:rPr>
        <w:t>Е</w:t>
      </w:r>
      <w:r w:rsidRPr="00200652">
        <w:rPr>
          <w:rFonts w:ascii="Times New Roman" w:hAnsi="Times New Roman"/>
          <w:sz w:val="28"/>
          <w:szCs w:val="28"/>
          <w:lang w:val="en-US"/>
        </w:rPr>
        <w:t xml:space="preserve">.I. Tkachenko, </w:t>
      </w:r>
      <w:r w:rsidRPr="00200652">
        <w:rPr>
          <w:rFonts w:ascii="Times New Roman" w:hAnsi="Times New Roman"/>
          <w:sz w:val="28"/>
          <w:szCs w:val="28"/>
        </w:rPr>
        <w:t>Е</w:t>
      </w:r>
      <w:r w:rsidRPr="00200652">
        <w:rPr>
          <w:rFonts w:ascii="Times New Roman" w:hAnsi="Times New Roman"/>
          <w:sz w:val="28"/>
          <w:szCs w:val="28"/>
          <w:lang w:val="en-US"/>
        </w:rPr>
        <w:t xml:space="preserve">.B. Avalueva, </w:t>
      </w:r>
      <w:r w:rsidRPr="00200652">
        <w:rPr>
          <w:rFonts w:ascii="Times New Roman" w:hAnsi="Times New Roman"/>
          <w:sz w:val="28"/>
          <w:szCs w:val="28"/>
        </w:rPr>
        <w:t>Е</w:t>
      </w:r>
      <w:r w:rsidRPr="00200652">
        <w:rPr>
          <w:rFonts w:ascii="Times New Roman" w:hAnsi="Times New Roman"/>
          <w:sz w:val="28"/>
          <w:szCs w:val="28"/>
          <w:lang w:val="en-US"/>
        </w:rPr>
        <w:t>.V. Skazyvaeva,</w:t>
      </w:r>
      <w:r w:rsidRPr="00200652">
        <w:rPr>
          <w:rFonts w:ascii="Times New Roman" w:hAnsi="Times New Roman"/>
          <w:sz w:val="28"/>
          <w:szCs w:val="28"/>
          <w:vertAlign w:val="superscript"/>
          <w:lang w:val="en-US"/>
        </w:rPr>
        <w:t xml:space="preserve"> </w:t>
      </w:r>
      <w:r w:rsidRPr="00200652">
        <w:rPr>
          <w:rFonts w:ascii="Times New Roman" w:hAnsi="Times New Roman"/>
          <w:sz w:val="28"/>
          <w:szCs w:val="28"/>
          <w:lang w:val="en-US"/>
        </w:rPr>
        <w:t>S.V. Ivanov</w:t>
      </w:r>
      <w:r>
        <w:rPr>
          <w:rFonts w:ascii="Times New Roman" w:hAnsi="Times New Roman"/>
          <w:sz w:val="28"/>
          <w:szCs w:val="28"/>
          <w:lang w:val="en-US"/>
        </w:rPr>
        <w:t>, I.V</w:t>
      </w:r>
      <w:r w:rsidRPr="00200652">
        <w:rPr>
          <w:rFonts w:ascii="Times New Roman" w:hAnsi="Times New Roman"/>
          <w:sz w:val="28"/>
          <w:szCs w:val="28"/>
          <w:lang w:val="en-US"/>
        </w:rPr>
        <w:t> Lapinskii</w:t>
      </w:r>
      <w:r w:rsidRPr="00BD7EC4">
        <w:rPr>
          <w:rFonts w:ascii="Times New Roman" w:hAnsi="Times New Roman"/>
          <w:sz w:val="28"/>
          <w:szCs w:val="28"/>
          <w:lang w:val="en-US"/>
        </w:rPr>
        <w:t>,</w:t>
      </w:r>
      <w:r w:rsidRPr="00200652">
        <w:rPr>
          <w:rFonts w:ascii="Times New Roman" w:hAnsi="Times New Roman"/>
          <w:sz w:val="28"/>
          <w:szCs w:val="28"/>
          <w:lang w:val="en-US"/>
        </w:rPr>
        <w:t xml:space="preserve"> </w:t>
      </w:r>
      <w:r w:rsidRPr="00BD7EC4">
        <w:rPr>
          <w:rFonts w:ascii="Times New Roman" w:hAnsi="Times New Roman"/>
          <w:bCs/>
          <w:sz w:val="28"/>
          <w:szCs w:val="20"/>
          <w:lang w:val="en-US"/>
        </w:rPr>
        <w:t>A.V. Pushkina</w:t>
      </w:r>
      <w:r>
        <w:rPr>
          <w:rFonts w:ascii="Times New Roman" w:hAnsi="Times New Roman"/>
          <w:bCs/>
          <w:sz w:val="28"/>
          <w:szCs w:val="20"/>
          <w:lang w:val="en-US"/>
        </w:rPr>
        <w:t>.</w:t>
      </w:r>
      <w:r w:rsidRPr="00BD7EC4">
        <w:rPr>
          <w:rFonts w:ascii="Times New Roman" w:hAnsi="Times New Roman"/>
          <w:bCs/>
          <w:sz w:val="28"/>
          <w:szCs w:val="20"/>
          <w:vertAlign w:val="superscript"/>
          <w:lang w:val="en-US"/>
        </w:rPr>
        <w:t>.</w:t>
      </w:r>
      <w:r w:rsidR="00DC6140">
        <w:rPr>
          <w:rFonts w:ascii="Times New Roman" w:hAnsi="Times New Roman"/>
          <w:bCs/>
          <w:sz w:val="28"/>
          <w:szCs w:val="20"/>
          <w:vertAlign w:val="superscript"/>
          <w:lang w:val="en-US"/>
        </w:rPr>
        <w:t>1</w:t>
      </w:r>
      <w:r w:rsidRPr="00BD7EC4">
        <w:rPr>
          <w:rFonts w:ascii="Times New Roman" w:hAnsi="Times New Roman"/>
          <w:bCs/>
          <w:sz w:val="28"/>
          <w:szCs w:val="20"/>
          <w:vertAlign w:val="superscript"/>
          <w:lang w:val="en-US"/>
        </w:rPr>
        <w:t xml:space="preserve"> </w:t>
      </w:r>
      <w:r w:rsidR="00DC6140">
        <w:rPr>
          <w:rFonts w:ascii="Times New Roman" w:hAnsi="Times New Roman"/>
          <w:bCs/>
          <w:sz w:val="28"/>
          <w:szCs w:val="20"/>
          <w:lang w:val="en-US"/>
        </w:rPr>
        <w:t>E</w:t>
      </w:r>
      <w:r w:rsidRPr="00BD7EC4">
        <w:rPr>
          <w:rFonts w:ascii="Times New Roman" w:hAnsi="Times New Roman"/>
          <w:sz w:val="28"/>
          <w:szCs w:val="28"/>
          <w:lang w:val="en-US"/>
        </w:rPr>
        <w:t xml:space="preserve">fficiency </w:t>
      </w:r>
      <w:r>
        <w:rPr>
          <w:rFonts w:ascii="Times New Roman" w:hAnsi="Times New Roman"/>
          <w:sz w:val="28"/>
          <w:szCs w:val="28"/>
          <w:lang w:val="en-US"/>
        </w:rPr>
        <w:t xml:space="preserve">and safety </w:t>
      </w:r>
      <w:r w:rsidRPr="00BD7EC4">
        <w:rPr>
          <w:rFonts w:ascii="Times New Roman" w:hAnsi="Times New Roman"/>
          <w:sz w:val="28"/>
          <w:szCs w:val="28"/>
          <w:lang w:val="en-US"/>
        </w:rPr>
        <w:t xml:space="preserve">of silicon-containing enterosorbent in the treatment of </w:t>
      </w:r>
      <w:r w:rsidR="005324A2">
        <w:rPr>
          <w:rFonts w:ascii="Times New Roman" w:hAnsi="Times New Roman"/>
          <w:sz w:val="28"/>
          <w:szCs w:val="28"/>
          <w:lang w:val="en-US"/>
        </w:rPr>
        <w:t>irritable bowel syn</w:t>
      </w:r>
      <w:r w:rsidR="002E0236">
        <w:rPr>
          <w:rFonts w:ascii="Times New Roman" w:hAnsi="Times New Roman"/>
          <w:sz w:val="28"/>
          <w:szCs w:val="28"/>
          <w:lang w:val="en-US"/>
        </w:rPr>
        <w:t>d</w:t>
      </w:r>
      <w:r w:rsidR="005324A2">
        <w:rPr>
          <w:rFonts w:ascii="Times New Roman" w:hAnsi="Times New Roman"/>
          <w:sz w:val="28"/>
          <w:szCs w:val="28"/>
          <w:lang w:val="en-US"/>
        </w:rPr>
        <w:t>rome</w:t>
      </w:r>
    </w:p>
    <w:p w:rsidR="00B84AC1" w:rsidRPr="00F719F5" w:rsidRDefault="00B84AC1" w:rsidP="00B84AC1">
      <w:pPr>
        <w:widowControl w:val="0"/>
        <w:spacing w:after="0" w:line="360" w:lineRule="auto"/>
        <w:jc w:val="both"/>
        <w:rPr>
          <w:rFonts w:ascii="Times New Roman" w:hAnsi="Times New Roman"/>
          <w:sz w:val="28"/>
          <w:szCs w:val="20"/>
          <w:lang w:val="en-US"/>
        </w:rPr>
      </w:pPr>
      <w:r w:rsidRPr="00F719F5">
        <w:rPr>
          <w:rFonts w:ascii="Times New Roman" w:hAnsi="Times New Roman"/>
          <w:b/>
          <w:bCs/>
          <w:sz w:val="28"/>
          <w:szCs w:val="20"/>
          <w:vertAlign w:val="superscript"/>
          <w:lang w:val="en-US"/>
        </w:rPr>
        <w:t>1</w:t>
      </w:r>
      <w:r w:rsidRPr="00F719F5">
        <w:rPr>
          <w:rFonts w:ascii="Times New Roman" w:hAnsi="Times New Roman"/>
          <w:iCs/>
          <w:sz w:val="28"/>
          <w:szCs w:val="20"/>
          <w:lang w:val="en-US"/>
        </w:rPr>
        <w:t xml:space="preserve">North-Western State Medical University named after I.I. Mechnikov, Kirochnaya str. </w:t>
      </w:r>
      <w:smartTag w:uri="urn:schemas-microsoft-com:office:smarttags" w:element="metricconverter">
        <w:smartTagPr>
          <w:attr w:name="ProductID" w:val="41, St"/>
        </w:smartTagPr>
        <w:r w:rsidRPr="00F719F5">
          <w:rPr>
            <w:rFonts w:ascii="Times New Roman" w:hAnsi="Times New Roman"/>
            <w:iCs/>
            <w:sz w:val="28"/>
            <w:szCs w:val="20"/>
            <w:lang w:val="en-US"/>
          </w:rPr>
          <w:t>41, St</w:t>
        </w:r>
      </w:smartTag>
      <w:r w:rsidRPr="00F719F5">
        <w:rPr>
          <w:rFonts w:ascii="Times New Roman" w:hAnsi="Times New Roman"/>
          <w:iCs/>
          <w:sz w:val="28"/>
          <w:szCs w:val="20"/>
          <w:lang w:val="en-US"/>
        </w:rPr>
        <w:t xml:space="preserve">.-Petersburg 191015, </w:t>
      </w:r>
      <w:smartTag w:uri="urn:schemas-microsoft-com:office:smarttags" w:element="place">
        <w:smartTag w:uri="urn:schemas-microsoft-com:office:smarttags" w:element="country-region">
          <w:r w:rsidRPr="00F719F5">
            <w:rPr>
              <w:rFonts w:ascii="Times New Roman" w:hAnsi="Times New Roman"/>
              <w:iCs/>
              <w:sz w:val="28"/>
              <w:szCs w:val="20"/>
              <w:lang w:val="en-US"/>
            </w:rPr>
            <w:t>Russian Federation</w:t>
          </w:r>
        </w:smartTag>
      </w:smartTag>
      <w:r w:rsidRPr="00F719F5">
        <w:rPr>
          <w:rFonts w:ascii="Times New Roman" w:hAnsi="Times New Roman"/>
          <w:iCs/>
          <w:sz w:val="28"/>
          <w:szCs w:val="20"/>
          <w:lang w:val="en-US"/>
        </w:rPr>
        <w:t>. Phone</w:t>
      </w:r>
      <w:r w:rsidRPr="00F719F5">
        <w:rPr>
          <w:rFonts w:ascii="Times New Roman" w:hAnsi="Times New Roman"/>
          <w:sz w:val="28"/>
          <w:szCs w:val="20"/>
          <w:lang w:val="en-US"/>
        </w:rPr>
        <w:t xml:space="preserve">: 8 (812) 303-50-00, fax: 8 (812) 303-50-35. E-mail: </w:t>
      </w:r>
      <w:hyperlink r:id="rId5" w:history="1">
        <w:r w:rsidRPr="00B6260C">
          <w:rPr>
            <w:rStyle w:val="Hyperlink"/>
            <w:sz w:val="28"/>
            <w:szCs w:val="20"/>
            <w:lang w:val="en-US"/>
          </w:rPr>
          <w:t>rectorat@spbmapo.ru</w:t>
        </w:r>
      </w:hyperlink>
    </w:p>
    <w:p w:rsidR="00B84AC1" w:rsidRPr="0048102C" w:rsidRDefault="00E74B4C" w:rsidP="00B84AC1">
      <w:pPr>
        <w:pStyle w:val="1"/>
        <w:ind w:firstLine="709"/>
        <w:rPr>
          <w:color w:val="auto"/>
          <w:spacing w:val="80"/>
          <w:szCs w:val="20"/>
          <w:lang w:val="en-US"/>
        </w:rPr>
      </w:pPr>
      <w:r>
        <w:rPr>
          <w:color w:val="auto"/>
          <w:spacing w:val="80"/>
          <w:szCs w:val="20"/>
          <w:lang w:val="en-US"/>
        </w:rPr>
        <w:t>Summary</w:t>
      </w:r>
      <w:r w:rsidR="00B84AC1" w:rsidRPr="0048102C">
        <w:rPr>
          <w:color w:val="auto"/>
          <w:spacing w:val="80"/>
          <w:szCs w:val="20"/>
          <w:lang w:val="en-US"/>
        </w:rPr>
        <w:t>:</w:t>
      </w:r>
    </w:p>
    <w:p w:rsidR="00B84AC1" w:rsidRPr="008E5F8D" w:rsidRDefault="00B84AC1" w:rsidP="00541A45">
      <w:pPr>
        <w:spacing w:after="0" w:line="360" w:lineRule="auto"/>
        <w:ind w:firstLine="709"/>
        <w:jc w:val="both"/>
        <w:rPr>
          <w:rFonts w:ascii="Times New Roman" w:hAnsi="Times New Roman"/>
          <w:sz w:val="28"/>
          <w:szCs w:val="28"/>
          <w:lang w:val="en-US"/>
        </w:rPr>
      </w:pPr>
      <w:r w:rsidRPr="008E5F8D">
        <w:rPr>
          <w:rFonts w:ascii="Times New Roman" w:hAnsi="Times New Roman"/>
          <w:color w:val="333333"/>
          <w:sz w:val="28"/>
          <w:szCs w:val="28"/>
          <w:lang w:val="en-US"/>
        </w:rPr>
        <w:t xml:space="preserve">Introduction: </w:t>
      </w:r>
      <w:r w:rsidRPr="008E5F8D">
        <w:rPr>
          <w:rFonts w:ascii="Times New Roman" w:hAnsi="Times New Roman"/>
          <w:sz w:val="28"/>
          <w:szCs w:val="28"/>
          <w:lang w:val="en-US"/>
        </w:rPr>
        <w:t xml:space="preserve">Irritable Bowel Syndrome (IBS) is </w:t>
      </w:r>
      <w:r w:rsidR="00902672">
        <w:rPr>
          <w:rFonts w:ascii="Times New Roman" w:hAnsi="Times New Roman"/>
          <w:sz w:val="28"/>
          <w:szCs w:val="28"/>
          <w:lang w:val="en-US"/>
        </w:rPr>
        <w:t>a</w:t>
      </w:r>
      <w:r w:rsidRPr="008E5F8D">
        <w:rPr>
          <w:rFonts w:ascii="Times New Roman" w:hAnsi="Times New Roman"/>
          <w:sz w:val="28"/>
          <w:szCs w:val="28"/>
          <w:lang w:val="en-US"/>
        </w:rPr>
        <w:t xml:space="preserve"> psychosocial funct</w:t>
      </w:r>
      <w:r w:rsidR="002E0236">
        <w:rPr>
          <w:rFonts w:ascii="Times New Roman" w:hAnsi="Times New Roman"/>
          <w:sz w:val="28"/>
          <w:szCs w:val="28"/>
          <w:lang w:val="en-US"/>
        </w:rPr>
        <w:t>ional gastrointestinal disorder</w:t>
      </w:r>
      <w:r w:rsidRPr="008E5F8D">
        <w:rPr>
          <w:rFonts w:ascii="Times New Roman" w:hAnsi="Times New Roman"/>
          <w:sz w:val="28"/>
          <w:szCs w:val="28"/>
          <w:lang w:val="en-US"/>
        </w:rPr>
        <w:t xml:space="preserve"> </w:t>
      </w:r>
      <w:r w:rsidR="002E0236">
        <w:rPr>
          <w:rFonts w:ascii="Times New Roman" w:hAnsi="Times New Roman"/>
          <w:sz w:val="28"/>
          <w:szCs w:val="28"/>
          <w:lang w:val="en-US"/>
        </w:rPr>
        <w:t>significantly reducing</w:t>
      </w:r>
      <w:r w:rsidRPr="008E5F8D">
        <w:rPr>
          <w:rFonts w:ascii="Times New Roman" w:hAnsi="Times New Roman"/>
          <w:sz w:val="28"/>
          <w:szCs w:val="28"/>
          <w:lang w:val="en-US"/>
        </w:rPr>
        <w:t xml:space="preserve"> the </w:t>
      </w:r>
      <w:r w:rsidR="00F227B7" w:rsidRPr="008E5F8D">
        <w:rPr>
          <w:rFonts w:ascii="Times New Roman" w:hAnsi="Times New Roman"/>
          <w:sz w:val="28"/>
          <w:szCs w:val="28"/>
          <w:lang w:val="en-US"/>
        </w:rPr>
        <w:t xml:space="preserve">patient’s </w:t>
      </w:r>
      <w:r w:rsidRPr="008E5F8D">
        <w:rPr>
          <w:rFonts w:ascii="Times New Roman" w:hAnsi="Times New Roman"/>
          <w:sz w:val="28"/>
          <w:szCs w:val="28"/>
          <w:lang w:val="en-US"/>
        </w:rPr>
        <w:t>quality of life. The the study</w:t>
      </w:r>
      <w:r w:rsidR="00E264FE">
        <w:rPr>
          <w:rFonts w:ascii="Times New Roman" w:hAnsi="Times New Roman"/>
          <w:sz w:val="28"/>
          <w:szCs w:val="28"/>
          <w:lang w:val="en-US"/>
        </w:rPr>
        <w:t xml:space="preserve"> objective</w:t>
      </w:r>
      <w:r w:rsidRPr="008E5F8D">
        <w:rPr>
          <w:rFonts w:ascii="Times New Roman" w:hAnsi="Times New Roman"/>
          <w:sz w:val="28"/>
          <w:szCs w:val="28"/>
          <w:lang w:val="en-US"/>
        </w:rPr>
        <w:t xml:space="preserve"> was to assess </w:t>
      </w:r>
      <w:r w:rsidRPr="008E5F8D">
        <w:rPr>
          <w:rFonts w:ascii="Times New Roman" w:hAnsi="Times New Roman"/>
          <w:sz w:val="28"/>
          <w:szCs w:val="28"/>
          <w:lang w:val="en-US"/>
        </w:rPr>
        <w:lastRenderedPageBreak/>
        <w:t xml:space="preserve">the </w:t>
      </w:r>
      <w:r w:rsidR="00541A45">
        <w:rPr>
          <w:rFonts w:ascii="Times New Roman" w:hAnsi="Times New Roman"/>
          <w:sz w:val="28"/>
          <w:szCs w:val="28"/>
          <w:lang w:val="en-US"/>
        </w:rPr>
        <w:t>efficiency</w:t>
      </w:r>
      <w:r w:rsidRPr="008E5F8D">
        <w:rPr>
          <w:rFonts w:ascii="Times New Roman" w:hAnsi="Times New Roman"/>
          <w:sz w:val="28"/>
          <w:szCs w:val="28"/>
          <w:lang w:val="en-US"/>
        </w:rPr>
        <w:t xml:space="preserve"> of using silicon-containing enterosorbent (Enterosgel) in IBS patients with diarrhea.</w:t>
      </w:r>
    </w:p>
    <w:p w:rsidR="00B84AC1" w:rsidRPr="008E5F8D" w:rsidRDefault="00541A45" w:rsidP="00D047D4">
      <w:pPr>
        <w:spacing w:after="0" w:line="360" w:lineRule="auto"/>
        <w:ind w:firstLine="709"/>
        <w:jc w:val="both"/>
        <w:rPr>
          <w:rFonts w:ascii="Times New Roman" w:hAnsi="Times New Roman"/>
          <w:sz w:val="28"/>
          <w:szCs w:val="28"/>
          <w:lang w:val="en-US"/>
        </w:rPr>
      </w:pPr>
      <w:r>
        <w:rPr>
          <w:rFonts w:ascii="Times New Roman" w:hAnsi="Times New Roman"/>
          <w:color w:val="333333"/>
          <w:sz w:val="28"/>
          <w:szCs w:val="28"/>
          <w:lang w:val="en-US"/>
        </w:rPr>
        <w:t>Materials and m</w:t>
      </w:r>
      <w:r w:rsidR="00B84AC1" w:rsidRPr="008E5F8D">
        <w:rPr>
          <w:rFonts w:ascii="Times New Roman" w:hAnsi="Times New Roman"/>
          <w:color w:val="333333"/>
          <w:sz w:val="28"/>
          <w:szCs w:val="28"/>
          <w:lang w:val="en-US"/>
        </w:rPr>
        <w:t xml:space="preserve">ethods: </w:t>
      </w:r>
      <w:r w:rsidR="00B84AC1" w:rsidRPr="008E5F8D">
        <w:rPr>
          <w:rFonts w:ascii="Times New Roman" w:hAnsi="Times New Roman"/>
          <w:sz w:val="28"/>
          <w:szCs w:val="28"/>
          <w:lang w:val="en-US"/>
        </w:rPr>
        <w:t xml:space="preserve">30 patients with diarrhea type of IBS (16 women and 14 men) were </w:t>
      </w:r>
      <w:r w:rsidR="008122E2">
        <w:rPr>
          <w:rFonts w:ascii="Times New Roman" w:hAnsi="Times New Roman"/>
          <w:sz w:val="28"/>
          <w:szCs w:val="28"/>
          <w:lang w:val="en-US"/>
        </w:rPr>
        <w:t>included in the study</w:t>
      </w:r>
      <w:r w:rsidR="00B84AC1" w:rsidRPr="008E5F8D">
        <w:rPr>
          <w:rFonts w:ascii="Times New Roman" w:hAnsi="Times New Roman"/>
          <w:sz w:val="28"/>
          <w:szCs w:val="28"/>
          <w:lang w:val="en-US"/>
        </w:rPr>
        <w:t xml:space="preserve">. All </w:t>
      </w:r>
      <w:r w:rsidR="008122E2">
        <w:rPr>
          <w:rFonts w:ascii="Times New Roman" w:hAnsi="Times New Roman"/>
          <w:sz w:val="28"/>
          <w:szCs w:val="28"/>
          <w:lang w:val="en-US"/>
        </w:rPr>
        <w:t>the patients were divided into two</w:t>
      </w:r>
      <w:r w:rsidR="00B84AC1" w:rsidRPr="008E5F8D">
        <w:rPr>
          <w:rFonts w:ascii="Times New Roman" w:hAnsi="Times New Roman"/>
          <w:sz w:val="28"/>
          <w:szCs w:val="28"/>
          <w:lang w:val="en-US"/>
        </w:rPr>
        <w:t xml:space="preserve"> groups: </w:t>
      </w:r>
      <w:r w:rsidR="008122E2">
        <w:rPr>
          <w:rFonts w:ascii="Times New Roman" w:hAnsi="Times New Roman"/>
          <w:sz w:val="28"/>
          <w:szCs w:val="28"/>
          <w:lang w:val="en-US"/>
        </w:rPr>
        <w:t xml:space="preserve">the </w:t>
      </w:r>
      <w:r w:rsidR="00B84AC1" w:rsidRPr="008E5F8D">
        <w:rPr>
          <w:rFonts w:ascii="Times New Roman" w:hAnsi="Times New Roman"/>
          <w:sz w:val="28"/>
          <w:szCs w:val="28"/>
          <w:lang w:val="en-US"/>
        </w:rPr>
        <w:t xml:space="preserve">main group was treated by the  enterosorbent "Enterosgel" (dosing 22.5 g 3 times a day, 1 hour after meals for 21 day), </w:t>
      </w:r>
      <w:r w:rsidR="008122E2">
        <w:rPr>
          <w:rFonts w:ascii="Times New Roman" w:hAnsi="Times New Roman"/>
          <w:sz w:val="28"/>
          <w:szCs w:val="28"/>
          <w:lang w:val="en-US"/>
        </w:rPr>
        <w:t>the reference group was</w:t>
      </w:r>
      <w:r w:rsidR="00D047D4">
        <w:rPr>
          <w:rFonts w:ascii="Times New Roman" w:hAnsi="Times New Roman"/>
          <w:sz w:val="28"/>
          <w:szCs w:val="28"/>
          <w:lang w:val="en-US"/>
        </w:rPr>
        <w:t xml:space="preserve"> treated with bismuth</w:t>
      </w:r>
      <w:r w:rsidR="00B84AC1" w:rsidRPr="008E5F8D">
        <w:rPr>
          <w:rFonts w:ascii="Times New Roman" w:hAnsi="Times New Roman"/>
          <w:sz w:val="28"/>
          <w:szCs w:val="28"/>
          <w:lang w:val="en-US"/>
        </w:rPr>
        <w:t xml:space="preserve"> tripotass</w:t>
      </w:r>
      <w:r w:rsidR="008122E2">
        <w:rPr>
          <w:rFonts w:ascii="Times New Roman" w:hAnsi="Times New Roman"/>
          <w:sz w:val="28"/>
          <w:szCs w:val="28"/>
          <w:lang w:val="en-US"/>
        </w:rPr>
        <w:t>ium dicitrate 1 tablet</w:t>
      </w:r>
      <w:r w:rsidR="00B84AC1" w:rsidRPr="008E5F8D">
        <w:rPr>
          <w:rFonts w:ascii="Times New Roman" w:hAnsi="Times New Roman"/>
          <w:sz w:val="28"/>
          <w:szCs w:val="28"/>
          <w:lang w:val="en-US"/>
        </w:rPr>
        <w:t xml:space="preserve"> 3 times a day 30</w:t>
      </w:r>
      <w:r w:rsidR="008122E2">
        <w:rPr>
          <w:rFonts w:ascii="Times New Roman" w:hAnsi="Times New Roman"/>
          <w:sz w:val="28"/>
          <w:szCs w:val="28"/>
          <w:lang w:val="en-US"/>
        </w:rPr>
        <w:t xml:space="preserve"> minutes before meals and 1 tablet</w:t>
      </w:r>
      <w:r w:rsidR="00B84AC1" w:rsidRPr="008E5F8D">
        <w:rPr>
          <w:rFonts w:ascii="Times New Roman" w:hAnsi="Times New Roman"/>
          <w:sz w:val="28"/>
          <w:szCs w:val="28"/>
          <w:lang w:val="en-US"/>
        </w:rPr>
        <w:t xml:space="preserve"> at night for 21 days.</w:t>
      </w:r>
    </w:p>
    <w:p w:rsidR="00B84AC1" w:rsidRPr="008E5F8D" w:rsidRDefault="00B84AC1" w:rsidP="00AB0318">
      <w:pPr>
        <w:spacing w:after="0" w:line="360" w:lineRule="auto"/>
        <w:ind w:firstLine="709"/>
        <w:jc w:val="both"/>
        <w:rPr>
          <w:rFonts w:ascii="Times New Roman" w:hAnsi="Times New Roman"/>
          <w:sz w:val="28"/>
          <w:szCs w:val="28"/>
          <w:lang w:val="en-US"/>
        </w:rPr>
      </w:pPr>
      <w:r w:rsidRPr="008E5F8D">
        <w:rPr>
          <w:rFonts w:ascii="Times New Roman" w:hAnsi="Times New Roman"/>
          <w:sz w:val="28"/>
          <w:szCs w:val="28"/>
          <w:lang w:val="en-US"/>
        </w:rPr>
        <w:t xml:space="preserve">To assess the </w:t>
      </w:r>
      <w:r w:rsidR="000479F2">
        <w:rPr>
          <w:rFonts w:ascii="Times New Roman" w:hAnsi="Times New Roman"/>
          <w:sz w:val="28"/>
          <w:szCs w:val="28"/>
          <w:lang w:val="en-US"/>
        </w:rPr>
        <w:t xml:space="preserve">treatment </w:t>
      </w:r>
      <w:r w:rsidR="00FA57AB">
        <w:rPr>
          <w:rFonts w:ascii="Times New Roman" w:hAnsi="Times New Roman"/>
          <w:sz w:val="28"/>
          <w:szCs w:val="28"/>
          <w:lang w:val="en-US"/>
        </w:rPr>
        <w:t>efficiency</w:t>
      </w:r>
      <w:r w:rsidR="000479F2">
        <w:rPr>
          <w:rFonts w:ascii="Times New Roman" w:hAnsi="Times New Roman"/>
          <w:sz w:val="28"/>
          <w:szCs w:val="28"/>
          <w:lang w:val="en-US"/>
        </w:rPr>
        <w:t>, patient</w:t>
      </w:r>
      <w:r w:rsidRPr="008E5F8D">
        <w:rPr>
          <w:rFonts w:ascii="Times New Roman" w:hAnsi="Times New Roman"/>
          <w:sz w:val="28"/>
          <w:szCs w:val="28"/>
          <w:lang w:val="en-US"/>
        </w:rPr>
        <w:t>s</w:t>
      </w:r>
      <w:r w:rsidR="000479F2">
        <w:rPr>
          <w:rFonts w:ascii="Times New Roman" w:hAnsi="Times New Roman"/>
          <w:sz w:val="28"/>
          <w:szCs w:val="28"/>
          <w:lang w:val="en-US"/>
        </w:rPr>
        <w:t>’</w:t>
      </w:r>
      <w:r w:rsidRPr="008E5F8D">
        <w:rPr>
          <w:rFonts w:ascii="Times New Roman" w:hAnsi="Times New Roman"/>
          <w:sz w:val="28"/>
          <w:szCs w:val="28"/>
          <w:lang w:val="en-US"/>
        </w:rPr>
        <w:t xml:space="preserve"> complaints were evaluated using GSRS questionnaire, </w:t>
      </w:r>
      <w:r w:rsidR="00AB0318">
        <w:rPr>
          <w:rFonts w:ascii="Times New Roman" w:hAnsi="Times New Roman"/>
          <w:sz w:val="28"/>
          <w:szCs w:val="28"/>
          <w:lang w:val="en-US"/>
        </w:rPr>
        <w:t>stool</w:t>
      </w:r>
      <w:r w:rsidR="00AB0318" w:rsidRPr="008E5F8D">
        <w:rPr>
          <w:rFonts w:ascii="Times New Roman" w:hAnsi="Times New Roman"/>
          <w:sz w:val="28"/>
          <w:szCs w:val="28"/>
          <w:lang w:val="en-US"/>
        </w:rPr>
        <w:t xml:space="preserve"> </w:t>
      </w:r>
      <w:r w:rsidRPr="008E5F8D">
        <w:rPr>
          <w:rFonts w:ascii="Times New Roman" w:hAnsi="Times New Roman"/>
          <w:sz w:val="28"/>
          <w:szCs w:val="28"/>
          <w:lang w:val="en-US"/>
        </w:rPr>
        <w:t xml:space="preserve">frequency and form </w:t>
      </w:r>
      <w:r w:rsidR="00AB0318">
        <w:rPr>
          <w:rFonts w:ascii="Times New Roman" w:hAnsi="Times New Roman"/>
          <w:sz w:val="28"/>
          <w:szCs w:val="28"/>
          <w:lang w:val="en-US"/>
        </w:rPr>
        <w:t>were assessed</w:t>
      </w:r>
      <w:r w:rsidRPr="008E5F8D">
        <w:rPr>
          <w:rFonts w:ascii="Times New Roman" w:hAnsi="Times New Roman"/>
          <w:sz w:val="28"/>
          <w:szCs w:val="28"/>
          <w:lang w:val="en-US"/>
        </w:rPr>
        <w:t xml:space="preserve"> </w:t>
      </w:r>
      <w:r w:rsidR="00AB0318">
        <w:rPr>
          <w:rFonts w:ascii="Times New Roman" w:hAnsi="Times New Roman"/>
          <w:sz w:val="28"/>
          <w:szCs w:val="28"/>
          <w:lang w:val="en-US"/>
        </w:rPr>
        <w:t xml:space="preserve">as well as </w:t>
      </w:r>
      <w:r w:rsidRPr="008E5F8D">
        <w:rPr>
          <w:rFonts w:ascii="Times New Roman" w:hAnsi="Times New Roman"/>
          <w:sz w:val="28"/>
          <w:szCs w:val="28"/>
          <w:lang w:val="en-US"/>
        </w:rPr>
        <w:t xml:space="preserve">myoelectric activity of the digestive tract </w:t>
      </w:r>
      <w:r w:rsidR="00AB0318">
        <w:rPr>
          <w:rFonts w:ascii="Times New Roman" w:hAnsi="Times New Roman"/>
          <w:sz w:val="28"/>
          <w:szCs w:val="28"/>
          <w:lang w:val="en-US"/>
        </w:rPr>
        <w:t>(</w:t>
      </w:r>
      <w:r w:rsidRPr="008E5F8D">
        <w:rPr>
          <w:rFonts w:ascii="Times New Roman" w:hAnsi="Times New Roman"/>
          <w:sz w:val="28"/>
          <w:szCs w:val="28"/>
          <w:lang w:val="en-US"/>
        </w:rPr>
        <w:t>apparatus "Gastroenteromonitor-GEM-01"</w:t>
      </w:r>
      <w:r w:rsidR="00AB0318">
        <w:rPr>
          <w:rFonts w:ascii="Times New Roman" w:hAnsi="Times New Roman"/>
          <w:sz w:val="28"/>
          <w:szCs w:val="28"/>
          <w:lang w:val="en-US"/>
        </w:rPr>
        <w:t>)</w:t>
      </w:r>
      <w:r w:rsidRPr="008E5F8D">
        <w:rPr>
          <w:rFonts w:ascii="Times New Roman" w:hAnsi="Times New Roman"/>
          <w:sz w:val="28"/>
          <w:szCs w:val="28"/>
          <w:lang w:val="en-US"/>
        </w:rPr>
        <w:t>.</w:t>
      </w:r>
    </w:p>
    <w:p w:rsidR="00B84AC1" w:rsidRPr="008E5F8D" w:rsidRDefault="00B84AC1" w:rsidP="005A5021">
      <w:pPr>
        <w:spacing w:after="0" w:line="360" w:lineRule="auto"/>
        <w:ind w:firstLine="709"/>
        <w:jc w:val="both"/>
        <w:rPr>
          <w:rFonts w:ascii="Times New Roman" w:hAnsi="Times New Roman"/>
          <w:sz w:val="28"/>
          <w:szCs w:val="28"/>
          <w:lang w:val="en-US"/>
        </w:rPr>
      </w:pPr>
      <w:r w:rsidRPr="008E5F8D">
        <w:rPr>
          <w:rFonts w:ascii="Times New Roman" w:hAnsi="Times New Roman"/>
          <w:color w:val="333333"/>
          <w:sz w:val="28"/>
          <w:szCs w:val="28"/>
          <w:lang w:val="en-US"/>
        </w:rPr>
        <w:t xml:space="preserve">Results: </w:t>
      </w:r>
      <w:r w:rsidR="007740A6">
        <w:rPr>
          <w:rFonts w:ascii="Times New Roman" w:hAnsi="Times New Roman"/>
          <w:color w:val="333333"/>
          <w:sz w:val="28"/>
          <w:szCs w:val="28"/>
          <w:lang w:val="en-US"/>
        </w:rPr>
        <w:t xml:space="preserve">As a result of the </w:t>
      </w:r>
      <w:r w:rsidR="007740A6" w:rsidRPr="008E5F8D">
        <w:rPr>
          <w:rFonts w:ascii="Times New Roman" w:hAnsi="Times New Roman"/>
          <w:sz w:val="28"/>
          <w:szCs w:val="28"/>
          <w:lang w:val="en-US"/>
        </w:rPr>
        <w:t>treatment</w:t>
      </w:r>
      <w:r w:rsidR="007740A6">
        <w:rPr>
          <w:rFonts w:ascii="Times New Roman" w:hAnsi="Times New Roman"/>
          <w:sz w:val="28"/>
          <w:szCs w:val="28"/>
          <w:lang w:val="en-US"/>
        </w:rPr>
        <w:t>,</w:t>
      </w:r>
      <w:r w:rsidR="007740A6" w:rsidRPr="008E5F8D">
        <w:rPr>
          <w:rFonts w:ascii="Times New Roman" w:hAnsi="Times New Roman"/>
          <w:sz w:val="28"/>
          <w:szCs w:val="28"/>
          <w:lang w:val="en-US"/>
        </w:rPr>
        <w:t xml:space="preserve"> </w:t>
      </w:r>
      <w:r w:rsidR="007740A6">
        <w:rPr>
          <w:rFonts w:ascii="Times New Roman" w:hAnsi="Times New Roman"/>
          <w:sz w:val="28"/>
          <w:szCs w:val="28"/>
          <w:lang w:val="en-US"/>
        </w:rPr>
        <w:t>p</w:t>
      </w:r>
      <w:r w:rsidRPr="008E5F8D">
        <w:rPr>
          <w:rFonts w:ascii="Times New Roman" w:hAnsi="Times New Roman"/>
          <w:sz w:val="28"/>
          <w:szCs w:val="28"/>
          <w:lang w:val="en-US"/>
        </w:rPr>
        <w:t xml:space="preserve">atients of the main group </w:t>
      </w:r>
      <w:r w:rsidR="008B11BE">
        <w:rPr>
          <w:rFonts w:ascii="Times New Roman" w:hAnsi="Times New Roman"/>
          <w:sz w:val="28"/>
          <w:szCs w:val="28"/>
          <w:lang w:val="en-US"/>
        </w:rPr>
        <w:t xml:space="preserve">have </w:t>
      </w:r>
      <w:r w:rsidRPr="008E5F8D">
        <w:rPr>
          <w:rFonts w:ascii="Times New Roman" w:hAnsi="Times New Roman"/>
          <w:sz w:val="28"/>
          <w:szCs w:val="28"/>
          <w:lang w:val="en-US"/>
        </w:rPr>
        <w:t>achieved a statistically significant reduction in the severity of complaints of abdominal pain, diarrhea syndrome, dyspepsia</w:t>
      </w:r>
      <w:r w:rsidR="008B11BE">
        <w:rPr>
          <w:rFonts w:ascii="Times New Roman" w:hAnsi="Times New Roman"/>
          <w:sz w:val="28"/>
          <w:szCs w:val="28"/>
          <w:lang w:val="en-US"/>
        </w:rPr>
        <w:t xml:space="preserve"> scales</w:t>
      </w:r>
      <w:r w:rsidRPr="008E5F8D">
        <w:rPr>
          <w:rFonts w:ascii="Times New Roman" w:hAnsi="Times New Roman"/>
          <w:sz w:val="28"/>
          <w:szCs w:val="28"/>
          <w:lang w:val="en-US"/>
        </w:rPr>
        <w:t xml:space="preserve">, and on the total GSRS scale. </w:t>
      </w:r>
      <w:r w:rsidR="00F665E0" w:rsidRPr="008E5F8D">
        <w:rPr>
          <w:rFonts w:ascii="Times New Roman" w:hAnsi="Times New Roman"/>
          <w:sz w:val="28"/>
          <w:szCs w:val="28"/>
          <w:lang w:val="en-US"/>
        </w:rPr>
        <w:t>After</w:t>
      </w:r>
      <w:r w:rsidR="00F665E0">
        <w:rPr>
          <w:rFonts w:ascii="Times New Roman" w:hAnsi="Times New Roman"/>
          <w:sz w:val="28"/>
          <w:szCs w:val="28"/>
          <w:lang w:val="en-US"/>
        </w:rPr>
        <w:t xml:space="preserve"> </w:t>
      </w:r>
      <w:r w:rsidR="00E76817">
        <w:rPr>
          <w:rFonts w:ascii="Times New Roman" w:hAnsi="Times New Roman"/>
          <w:sz w:val="28"/>
          <w:szCs w:val="28"/>
          <w:lang w:val="en-US"/>
        </w:rPr>
        <w:t xml:space="preserve">therapy with the comparator, </w:t>
      </w:r>
      <w:r w:rsidR="00DB0A76">
        <w:rPr>
          <w:rFonts w:ascii="Times New Roman" w:hAnsi="Times New Roman"/>
          <w:sz w:val="28"/>
          <w:szCs w:val="28"/>
          <w:lang w:val="en-US"/>
        </w:rPr>
        <w:t xml:space="preserve">in </w:t>
      </w:r>
      <w:r w:rsidR="00E76817">
        <w:rPr>
          <w:rFonts w:ascii="Times New Roman" w:hAnsi="Times New Roman"/>
          <w:sz w:val="28"/>
          <w:szCs w:val="28"/>
          <w:lang w:val="en-US"/>
        </w:rPr>
        <w:t>p</w:t>
      </w:r>
      <w:r w:rsidRPr="008E5F8D">
        <w:rPr>
          <w:rFonts w:ascii="Times New Roman" w:hAnsi="Times New Roman"/>
          <w:sz w:val="28"/>
          <w:szCs w:val="28"/>
          <w:lang w:val="en-US"/>
        </w:rPr>
        <w:t xml:space="preserve">atients </w:t>
      </w:r>
      <w:r w:rsidR="005A5021">
        <w:rPr>
          <w:rFonts w:ascii="Times New Roman" w:hAnsi="Times New Roman"/>
          <w:sz w:val="28"/>
          <w:szCs w:val="28"/>
          <w:lang w:val="en-US"/>
        </w:rPr>
        <w:t>of</w:t>
      </w:r>
      <w:r w:rsidRPr="008E5F8D">
        <w:rPr>
          <w:rFonts w:ascii="Times New Roman" w:hAnsi="Times New Roman"/>
          <w:sz w:val="28"/>
          <w:szCs w:val="28"/>
          <w:lang w:val="en-US"/>
        </w:rPr>
        <w:t xml:space="preserve"> the reference group </w:t>
      </w:r>
      <w:r w:rsidR="005A5021">
        <w:rPr>
          <w:rFonts w:ascii="Times New Roman" w:hAnsi="Times New Roman"/>
          <w:sz w:val="28"/>
          <w:szCs w:val="28"/>
          <w:lang w:val="en-US"/>
        </w:rPr>
        <w:t xml:space="preserve">intensity </w:t>
      </w:r>
      <w:r w:rsidRPr="008E5F8D">
        <w:rPr>
          <w:rFonts w:ascii="Times New Roman" w:hAnsi="Times New Roman"/>
          <w:sz w:val="28"/>
          <w:szCs w:val="28"/>
          <w:lang w:val="en-US"/>
        </w:rPr>
        <w:t xml:space="preserve">of abdominal pain, reflux syndrome, diarrhea syndrome </w:t>
      </w:r>
      <w:r w:rsidR="005A5021">
        <w:rPr>
          <w:rFonts w:ascii="Times New Roman" w:hAnsi="Times New Roman"/>
          <w:sz w:val="28"/>
          <w:szCs w:val="28"/>
          <w:lang w:val="en-US"/>
        </w:rPr>
        <w:t>and</w:t>
      </w:r>
      <w:r w:rsidRPr="008E5F8D">
        <w:rPr>
          <w:rFonts w:ascii="Times New Roman" w:hAnsi="Times New Roman"/>
          <w:sz w:val="28"/>
          <w:szCs w:val="28"/>
          <w:lang w:val="en-US"/>
        </w:rPr>
        <w:t xml:space="preserve"> dyspepsia</w:t>
      </w:r>
      <w:r w:rsidR="005A5021" w:rsidRPr="005A5021">
        <w:rPr>
          <w:rFonts w:ascii="Times New Roman" w:hAnsi="Times New Roman"/>
          <w:sz w:val="28"/>
          <w:szCs w:val="28"/>
          <w:lang w:val="en-US"/>
        </w:rPr>
        <w:t xml:space="preserve"> </w:t>
      </w:r>
      <w:r w:rsidR="005A5021" w:rsidRPr="008E5F8D">
        <w:rPr>
          <w:rFonts w:ascii="Times New Roman" w:hAnsi="Times New Roman"/>
          <w:sz w:val="28"/>
          <w:szCs w:val="28"/>
          <w:lang w:val="en-US"/>
        </w:rPr>
        <w:t>si</w:t>
      </w:r>
      <w:r w:rsidR="005A5021">
        <w:rPr>
          <w:rFonts w:ascii="Times New Roman" w:hAnsi="Times New Roman"/>
          <w:sz w:val="28"/>
          <w:szCs w:val="28"/>
          <w:lang w:val="en-US"/>
        </w:rPr>
        <w:t>gnificantly decreased</w:t>
      </w:r>
      <w:r w:rsidRPr="008E5F8D">
        <w:rPr>
          <w:rFonts w:ascii="Times New Roman" w:hAnsi="Times New Roman"/>
          <w:sz w:val="28"/>
          <w:szCs w:val="28"/>
          <w:lang w:val="en-US"/>
        </w:rPr>
        <w:t xml:space="preserve">. The most clinically significant changes observed in patients of the main group </w:t>
      </w:r>
      <w:r w:rsidR="005A5021">
        <w:rPr>
          <w:rFonts w:ascii="Times New Roman" w:hAnsi="Times New Roman"/>
          <w:sz w:val="28"/>
          <w:szCs w:val="28"/>
          <w:lang w:val="en-US"/>
        </w:rPr>
        <w:t>included</w:t>
      </w:r>
      <w:r w:rsidRPr="008E5F8D">
        <w:rPr>
          <w:rFonts w:ascii="Times New Roman" w:hAnsi="Times New Roman"/>
          <w:sz w:val="28"/>
          <w:szCs w:val="28"/>
          <w:lang w:val="en-US"/>
        </w:rPr>
        <w:t xml:space="preserve"> normalized stool frequency (slowing to 7 times a week), normalization of stool form (up to type 4 on the Bristol scale) and a decrease of pain severity.</w:t>
      </w:r>
    </w:p>
    <w:p w:rsidR="00B84AC1" w:rsidRPr="008E5F8D" w:rsidRDefault="00B84AC1" w:rsidP="00AC38E7">
      <w:pPr>
        <w:spacing w:after="0" w:line="360" w:lineRule="auto"/>
        <w:ind w:firstLine="709"/>
        <w:jc w:val="both"/>
        <w:rPr>
          <w:rFonts w:ascii="Times New Roman" w:hAnsi="Times New Roman"/>
          <w:sz w:val="28"/>
          <w:szCs w:val="28"/>
          <w:lang w:val="en-US"/>
        </w:rPr>
      </w:pPr>
      <w:r w:rsidRPr="008E5F8D">
        <w:rPr>
          <w:rFonts w:ascii="Times New Roman" w:hAnsi="Times New Roman"/>
          <w:sz w:val="28"/>
          <w:szCs w:val="28"/>
          <w:lang w:val="en-US"/>
        </w:rPr>
        <w:lastRenderedPageBreak/>
        <w:t>Conclusion: There were no significant differences between groups in assessing the digestive tract</w:t>
      </w:r>
      <w:r w:rsidR="005A5021" w:rsidRPr="005A5021">
        <w:rPr>
          <w:rFonts w:ascii="Times New Roman" w:hAnsi="Times New Roman"/>
          <w:sz w:val="28"/>
          <w:szCs w:val="28"/>
          <w:lang w:val="en-US"/>
        </w:rPr>
        <w:t xml:space="preserve"> </w:t>
      </w:r>
      <w:r w:rsidR="005A5021" w:rsidRPr="008E5F8D">
        <w:rPr>
          <w:rFonts w:ascii="Times New Roman" w:hAnsi="Times New Roman"/>
          <w:sz w:val="28"/>
          <w:szCs w:val="28"/>
          <w:lang w:val="en-US"/>
        </w:rPr>
        <w:t>MEA</w:t>
      </w:r>
      <w:r w:rsidRPr="008E5F8D">
        <w:rPr>
          <w:rFonts w:ascii="Times New Roman" w:hAnsi="Times New Roman"/>
          <w:sz w:val="28"/>
          <w:szCs w:val="28"/>
          <w:lang w:val="en-US"/>
        </w:rPr>
        <w:t xml:space="preserve">, </w:t>
      </w:r>
      <w:r w:rsidR="00A61621">
        <w:rPr>
          <w:rFonts w:ascii="Times New Roman" w:hAnsi="Times New Roman"/>
          <w:sz w:val="28"/>
          <w:szCs w:val="28"/>
          <w:lang w:val="en-US"/>
        </w:rPr>
        <w:t>however,</w:t>
      </w:r>
      <w:r w:rsidRPr="008E5F8D">
        <w:rPr>
          <w:rFonts w:ascii="Times New Roman" w:hAnsi="Times New Roman"/>
          <w:sz w:val="28"/>
          <w:szCs w:val="28"/>
          <w:lang w:val="en-US"/>
        </w:rPr>
        <w:t xml:space="preserve"> </w:t>
      </w:r>
      <w:r w:rsidR="00A61621">
        <w:rPr>
          <w:rFonts w:ascii="Times New Roman" w:hAnsi="Times New Roman"/>
          <w:sz w:val="28"/>
          <w:szCs w:val="28"/>
          <w:lang w:val="en-US"/>
        </w:rPr>
        <w:t>the aberrant</w:t>
      </w:r>
      <w:r w:rsidRPr="008E5F8D">
        <w:rPr>
          <w:rFonts w:ascii="Times New Roman" w:hAnsi="Times New Roman"/>
          <w:sz w:val="28"/>
          <w:szCs w:val="28"/>
          <w:lang w:val="en-US"/>
        </w:rPr>
        <w:t xml:space="preserve"> </w:t>
      </w:r>
      <w:r w:rsidR="005A29E8">
        <w:rPr>
          <w:rFonts w:ascii="Times New Roman" w:hAnsi="Times New Roman"/>
          <w:sz w:val="28"/>
          <w:szCs w:val="28"/>
          <w:lang w:val="en-US"/>
        </w:rPr>
        <w:t xml:space="preserve">GIT </w:t>
      </w:r>
      <w:r w:rsidRPr="008E5F8D">
        <w:rPr>
          <w:rFonts w:ascii="Times New Roman" w:hAnsi="Times New Roman"/>
          <w:sz w:val="28"/>
          <w:szCs w:val="28"/>
          <w:lang w:val="en-US"/>
        </w:rPr>
        <w:t xml:space="preserve">response of </w:t>
      </w:r>
      <w:r w:rsidR="00A61621" w:rsidRPr="008E5F8D">
        <w:rPr>
          <w:rFonts w:ascii="Times New Roman" w:hAnsi="Times New Roman"/>
          <w:sz w:val="28"/>
          <w:szCs w:val="28"/>
          <w:lang w:val="en-US"/>
        </w:rPr>
        <w:t xml:space="preserve">IBS </w:t>
      </w:r>
      <w:r w:rsidRPr="008E5F8D">
        <w:rPr>
          <w:rFonts w:ascii="Times New Roman" w:hAnsi="Times New Roman"/>
          <w:sz w:val="28"/>
          <w:szCs w:val="28"/>
          <w:lang w:val="en-US"/>
        </w:rPr>
        <w:t xml:space="preserve">patients with diarrhea </w:t>
      </w:r>
      <w:r w:rsidR="00A61621">
        <w:rPr>
          <w:rFonts w:ascii="Times New Roman" w:hAnsi="Times New Roman"/>
          <w:sz w:val="28"/>
          <w:szCs w:val="28"/>
          <w:lang w:val="en-US"/>
        </w:rPr>
        <w:t>to</w:t>
      </w:r>
      <w:r w:rsidRPr="008E5F8D">
        <w:rPr>
          <w:rFonts w:ascii="Times New Roman" w:hAnsi="Times New Roman"/>
          <w:sz w:val="28"/>
          <w:szCs w:val="28"/>
          <w:lang w:val="en-US"/>
        </w:rPr>
        <w:t xml:space="preserve"> food intake was revealed: a decrease instead </w:t>
      </w:r>
      <w:r w:rsidR="00AC38E7">
        <w:rPr>
          <w:rFonts w:ascii="Times New Roman" w:hAnsi="Times New Roman"/>
          <w:sz w:val="28"/>
          <w:szCs w:val="28"/>
          <w:lang w:val="en-US"/>
        </w:rPr>
        <w:t>of an expected increase of the M</w:t>
      </w:r>
      <w:r w:rsidRPr="008E5F8D">
        <w:rPr>
          <w:rFonts w:ascii="Times New Roman" w:hAnsi="Times New Roman"/>
          <w:sz w:val="28"/>
          <w:szCs w:val="28"/>
          <w:lang w:val="en-US"/>
        </w:rPr>
        <w:t xml:space="preserve">EA was </w:t>
      </w:r>
      <w:r w:rsidR="00AC38E7">
        <w:rPr>
          <w:rFonts w:ascii="Times New Roman" w:hAnsi="Times New Roman"/>
          <w:sz w:val="28"/>
          <w:szCs w:val="28"/>
          <w:lang w:val="en-US"/>
        </w:rPr>
        <w:t>noted</w:t>
      </w:r>
      <w:r w:rsidRPr="008E5F8D">
        <w:rPr>
          <w:rFonts w:ascii="Times New Roman" w:hAnsi="Times New Roman"/>
          <w:sz w:val="28"/>
          <w:szCs w:val="28"/>
          <w:lang w:val="en-US"/>
        </w:rPr>
        <w:t>.</w:t>
      </w:r>
    </w:p>
    <w:p w:rsidR="00B84AC1" w:rsidRPr="008E5F8D" w:rsidRDefault="00B84AC1" w:rsidP="00CA0950">
      <w:pPr>
        <w:spacing w:after="0" w:line="360" w:lineRule="auto"/>
        <w:ind w:firstLine="709"/>
        <w:jc w:val="both"/>
        <w:rPr>
          <w:rFonts w:ascii="Times New Roman" w:hAnsi="Times New Roman"/>
          <w:sz w:val="28"/>
          <w:szCs w:val="28"/>
          <w:lang w:val="en-US"/>
        </w:rPr>
      </w:pPr>
      <w:r w:rsidRPr="008E5F8D">
        <w:rPr>
          <w:rFonts w:ascii="Times New Roman" w:hAnsi="Times New Roman"/>
          <w:sz w:val="28"/>
          <w:szCs w:val="28"/>
          <w:lang w:val="en-US"/>
        </w:rPr>
        <w:t xml:space="preserve">So, the study found that </w:t>
      </w:r>
      <w:r w:rsidR="00AC38E7">
        <w:rPr>
          <w:rFonts w:ascii="Times New Roman" w:hAnsi="Times New Roman"/>
          <w:sz w:val="28"/>
          <w:szCs w:val="28"/>
          <w:lang w:val="en-US"/>
        </w:rPr>
        <w:t xml:space="preserve">application of </w:t>
      </w:r>
      <w:r w:rsidRPr="008E5F8D">
        <w:rPr>
          <w:rFonts w:ascii="Times New Roman" w:hAnsi="Times New Roman"/>
          <w:sz w:val="28"/>
          <w:szCs w:val="28"/>
          <w:lang w:val="en-US"/>
        </w:rPr>
        <w:t xml:space="preserve">Enterosgel </w:t>
      </w:r>
      <w:r w:rsidR="00AC38E7">
        <w:rPr>
          <w:rFonts w:ascii="Times New Roman" w:hAnsi="Times New Roman"/>
          <w:sz w:val="28"/>
          <w:szCs w:val="28"/>
          <w:lang w:val="en-US"/>
        </w:rPr>
        <w:t xml:space="preserve">reduced </w:t>
      </w:r>
      <w:r w:rsidRPr="008E5F8D">
        <w:rPr>
          <w:rFonts w:ascii="Times New Roman" w:hAnsi="Times New Roman"/>
          <w:sz w:val="28"/>
          <w:szCs w:val="28"/>
          <w:lang w:val="en-US"/>
        </w:rPr>
        <w:t>the complaint</w:t>
      </w:r>
      <w:r w:rsidR="009668AB">
        <w:rPr>
          <w:rFonts w:ascii="Times New Roman" w:hAnsi="Times New Roman"/>
          <w:sz w:val="28"/>
          <w:szCs w:val="28"/>
          <w:lang w:val="en-US"/>
        </w:rPr>
        <w:t>s of IBS patients with diarrhea and</w:t>
      </w:r>
      <w:r w:rsidRPr="008E5F8D">
        <w:rPr>
          <w:rFonts w:ascii="Times New Roman" w:hAnsi="Times New Roman"/>
          <w:sz w:val="28"/>
          <w:szCs w:val="28"/>
          <w:lang w:val="en-US"/>
        </w:rPr>
        <w:t xml:space="preserve"> abdominal pain</w:t>
      </w:r>
      <w:r w:rsidR="009668AB" w:rsidRPr="009668AB">
        <w:rPr>
          <w:rFonts w:ascii="Times New Roman" w:hAnsi="Times New Roman"/>
          <w:sz w:val="28"/>
          <w:szCs w:val="28"/>
          <w:lang w:val="en-US"/>
        </w:rPr>
        <w:t xml:space="preserve"> </w:t>
      </w:r>
      <w:r w:rsidR="009668AB" w:rsidRPr="008E5F8D">
        <w:rPr>
          <w:rFonts w:ascii="Times New Roman" w:hAnsi="Times New Roman"/>
          <w:sz w:val="28"/>
          <w:szCs w:val="28"/>
          <w:lang w:val="en-US"/>
        </w:rPr>
        <w:t>severity</w:t>
      </w:r>
      <w:r w:rsidRPr="008E5F8D">
        <w:rPr>
          <w:rFonts w:ascii="Times New Roman" w:hAnsi="Times New Roman"/>
          <w:sz w:val="28"/>
          <w:szCs w:val="28"/>
          <w:lang w:val="en-US"/>
        </w:rPr>
        <w:t xml:space="preserve">, </w:t>
      </w:r>
      <w:r w:rsidR="004D7FDB">
        <w:rPr>
          <w:rFonts w:ascii="Times New Roman" w:hAnsi="Times New Roman"/>
          <w:sz w:val="28"/>
          <w:szCs w:val="28"/>
          <w:lang w:val="en-US"/>
        </w:rPr>
        <w:t>thus contributing</w:t>
      </w:r>
      <w:r w:rsidRPr="008E5F8D">
        <w:rPr>
          <w:rFonts w:ascii="Times New Roman" w:hAnsi="Times New Roman"/>
          <w:sz w:val="28"/>
          <w:szCs w:val="28"/>
          <w:lang w:val="en-US"/>
        </w:rPr>
        <w:t xml:space="preserve"> to the harmonization of quality of patient’s life. The treatment regimen, which can be recommended for use in patients with diarrhea-predominant IBS is: orally for 3 consecutive weeks at a dose of 22.5 g 3 times a day </w:t>
      </w:r>
      <w:r w:rsidR="00CA0950">
        <w:rPr>
          <w:rFonts w:ascii="Times New Roman" w:hAnsi="Times New Roman"/>
          <w:sz w:val="28"/>
          <w:szCs w:val="28"/>
          <w:lang w:val="en-US"/>
        </w:rPr>
        <w:t>60 minutes before</w:t>
      </w:r>
      <w:r w:rsidRPr="008E5F8D">
        <w:rPr>
          <w:rFonts w:ascii="Times New Roman" w:hAnsi="Times New Roman"/>
          <w:sz w:val="28"/>
          <w:szCs w:val="28"/>
          <w:lang w:val="en-US"/>
        </w:rPr>
        <w:t xml:space="preserve"> meal</w:t>
      </w:r>
      <w:r w:rsidR="00CA0950">
        <w:rPr>
          <w:rFonts w:ascii="Times New Roman" w:hAnsi="Times New Roman"/>
          <w:sz w:val="28"/>
          <w:szCs w:val="28"/>
          <w:lang w:val="en-US"/>
        </w:rPr>
        <w:t>s</w:t>
      </w:r>
      <w:r w:rsidRPr="008E5F8D">
        <w:rPr>
          <w:rFonts w:ascii="Times New Roman" w:hAnsi="Times New Roman"/>
          <w:sz w:val="28"/>
          <w:szCs w:val="28"/>
          <w:lang w:val="en-US"/>
        </w:rPr>
        <w:t xml:space="preserve"> (</w:t>
      </w:r>
      <w:r w:rsidR="00CA0950">
        <w:rPr>
          <w:rFonts w:ascii="Times New Roman" w:hAnsi="Times New Roman"/>
          <w:sz w:val="28"/>
          <w:szCs w:val="28"/>
          <w:lang w:val="en-US"/>
        </w:rPr>
        <w:t xml:space="preserve">a </w:t>
      </w:r>
      <w:r w:rsidRPr="008E5F8D">
        <w:rPr>
          <w:rFonts w:ascii="Times New Roman" w:hAnsi="Times New Roman"/>
          <w:sz w:val="28"/>
          <w:szCs w:val="28"/>
          <w:lang w:val="en-US"/>
        </w:rPr>
        <w:t xml:space="preserve">dose </w:t>
      </w:r>
      <w:r w:rsidR="00CA0950">
        <w:rPr>
          <w:rFonts w:ascii="Times New Roman" w:hAnsi="Times New Roman"/>
          <w:sz w:val="28"/>
          <w:szCs w:val="28"/>
          <w:lang w:val="en-US"/>
        </w:rPr>
        <w:t xml:space="preserve">of </w:t>
      </w:r>
      <w:r w:rsidRPr="008E5F8D">
        <w:rPr>
          <w:rFonts w:ascii="Times New Roman" w:hAnsi="Times New Roman"/>
          <w:sz w:val="28"/>
          <w:szCs w:val="28"/>
          <w:lang w:val="en-US"/>
        </w:rPr>
        <w:t>paste diluted in 200 ml of cool boiled water or washed down with 200 ml of cool boiled water).</w:t>
      </w:r>
    </w:p>
    <w:p w:rsidR="00B84AC1" w:rsidRPr="0000091F" w:rsidRDefault="00B84AC1" w:rsidP="00B84AC1">
      <w:pPr>
        <w:spacing w:after="0" w:line="360" w:lineRule="auto"/>
        <w:ind w:firstLine="709"/>
        <w:jc w:val="both"/>
        <w:rPr>
          <w:rFonts w:ascii="Times New Roman" w:hAnsi="Times New Roman"/>
          <w:sz w:val="28"/>
          <w:szCs w:val="28"/>
          <w:lang w:val="en-US"/>
        </w:rPr>
      </w:pPr>
      <w:r w:rsidRPr="0000091F">
        <w:rPr>
          <w:rFonts w:ascii="Times New Roman" w:hAnsi="Times New Roman"/>
          <w:sz w:val="28"/>
          <w:szCs w:val="28"/>
          <w:lang w:val="en-US"/>
        </w:rPr>
        <w:t xml:space="preserve">Keywords: </w:t>
      </w:r>
      <w:r w:rsidRPr="0000091F">
        <w:rPr>
          <w:rFonts w:ascii="Times New Roman" w:hAnsi="Times New Roman"/>
          <w:i/>
          <w:sz w:val="28"/>
          <w:szCs w:val="28"/>
          <w:lang w:val="en-US"/>
        </w:rPr>
        <w:t xml:space="preserve">enterosorption, </w:t>
      </w:r>
      <w:r w:rsidR="00CA0950" w:rsidRPr="0000091F">
        <w:rPr>
          <w:rFonts w:ascii="Times New Roman" w:hAnsi="Times New Roman"/>
          <w:i/>
          <w:sz w:val="28"/>
          <w:szCs w:val="28"/>
          <w:lang w:val="en-US"/>
        </w:rPr>
        <w:t>Enterosgel</w:t>
      </w:r>
      <w:r w:rsidRPr="0000091F">
        <w:rPr>
          <w:rFonts w:ascii="Times New Roman" w:hAnsi="Times New Roman"/>
          <w:i/>
          <w:sz w:val="28"/>
          <w:szCs w:val="28"/>
          <w:lang w:val="en-US"/>
        </w:rPr>
        <w:t>, irritable</w:t>
      </w:r>
      <w:r w:rsidR="00CA0950">
        <w:rPr>
          <w:rFonts w:ascii="Times New Roman" w:hAnsi="Times New Roman"/>
          <w:i/>
          <w:sz w:val="28"/>
          <w:szCs w:val="28"/>
          <w:lang w:val="en-US"/>
        </w:rPr>
        <w:t xml:space="preserve"> bowel syndrome, myoelectrica</w:t>
      </w:r>
      <w:r>
        <w:rPr>
          <w:rFonts w:ascii="Times New Roman" w:hAnsi="Times New Roman"/>
          <w:i/>
          <w:sz w:val="28"/>
          <w:szCs w:val="28"/>
          <w:lang w:val="en-US"/>
        </w:rPr>
        <w:t>l</w:t>
      </w:r>
      <w:r w:rsidRPr="0000091F">
        <w:rPr>
          <w:rFonts w:ascii="Times New Roman" w:hAnsi="Times New Roman"/>
          <w:i/>
          <w:sz w:val="28"/>
          <w:szCs w:val="28"/>
          <w:lang w:val="en-US"/>
        </w:rPr>
        <w:t xml:space="preserve"> activity</w:t>
      </w:r>
    </w:p>
    <w:p w:rsidR="00FE7FF5" w:rsidRPr="005752A0" w:rsidRDefault="004122A8">
      <w:pPr>
        <w:rPr>
          <w:lang w:val="en-US"/>
        </w:rPr>
      </w:pPr>
    </w:p>
    <w:p w:rsidR="00211D6A" w:rsidRPr="00F719F5" w:rsidRDefault="00211D6A" w:rsidP="00211D6A">
      <w:pPr>
        <w:pStyle w:val="1"/>
        <w:ind w:firstLine="709"/>
        <w:rPr>
          <w:spacing w:val="80"/>
          <w:szCs w:val="20"/>
          <w:lang w:val="en-US"/>
        </w:rPr>
      </w:pPr>
      <w:r w:rsidRPr="0048102C">
        <w:rPr>
          <w:spacing w:val="80"/>
          <w:szCs w:val="20"/>
          <w:lang w:val="en-US"/>
        </w:rPr>
        <w:t>Information about the authors:</w:t>
      </w:r>
    </w:p>
    <w:p w:rsidR="00211D6A" w:rsidRPr="00F719F5" w:rsidRDefault="00211D6A" w:rsidP="004773EA">
      <w:pPr>
        <w:pStyle w:val="1"/>
        <w:ind w:firstLine="709"/>
        <w:rPr>
          <w:iCs/>
          <w:szCs w:val="20"/>
          <w:lang w:val="en-US"/>
        </w:rPr>
      </w:pPr>
      <w:r w:rsidRPr="00F719F5">
        <w:rPr>
          <w:iCs/>
          <w:szCs w:val="20"/>
          <w:lang w:val="en-US"/>
        </w:rPr>
        <w:t xml:space="preserve">Tkachenko Evgenii Ivanovich – </w:t>
      </w:r>
      <w:r w:rsidR="004773EA">
        <w:rPr>
          <w:szCs w:val="20"/>
          <w:lang w:val="en-US"/>
        </w:rPr>
        <w:t>MD</w:t>
      </w:r>
      <w:r w:rsidRPr="00F719F5">
        <w:rPr>
          <w:szCs w:val="20"/>
          <w:lang w:val="en-US"/>
        </w:rPr>
        <w:t>, head of Department of medical microbiology, North-Western State Medical University na</w:t>
      </w:r>
      <w:r w:rsidR="004773EA">
        <w:rPr>
          <w:szCs w:val="20"/>
          <w:lang w:val="en-US"/>
        </w:rPr>
        <w:t xml:space="preserve">med after I.I. Mechnikov, Saint </w:t>
      </w:r>
      <w:r w:rsidRPr="00F719F5">
        <w:rPr>
          <w:szCs w:val="20"/>
          <w:lang w:val="en-US"/>
        </w:rPr>
        <w:t xml:space="preserve">Petersburg, Russia. Mobile phone: 8 (812) 543-95-38, e-mail: </w:t>
      </w:r>
      <w:r w:rsidRPr="00F719F5">
        <w:rPr>
          <w:rStyle w:val="Hyperlink"/>
          <w:lang w:val="en-US"/>
        </w:rPr>
        <w:t>tkachenkoe@mail.ru.</w:t>
      </w:r>
    </w:p>
    <w:p w:rsidR="00211D6A" w:rsidRPr="00F719F5" w:rsidRDefault="00211D6A" w:rsidP="00501FFE">
      <w:pPr>
        <w:pStyle w:val="1"/>
        <w:ind w:firstLine="709"/>
        <w:rPr>
          <w:iCs/>
          <w:szCs w:val="20"/>
          <w:lang w:val="en-US"/>
        </w:rPr>
      </w:pPr>
      <w:r w:rsidRPr="00F719F5">
        <w:rPr>
          <w:iCs/>
          <w:szCs w:val="20"/>
          <w:lang w:val="en-US"/>
        </w:rPr>
        <w:t xml:space="preserve">Avalueva Elena Borisovna – </w:t>
      </w:r>
      <w:r w:rsidR="004773EA">
        <w:rPr>
          <w:szCs w:val="20"/>
          <w:lang w:val="en-US"/>
        </w:rPr>
        <w:t>MD</w:t>
      </w:r>
      <w:r w:rsidRPr="00F719F5">
        <w:rPr>
          <w:szCs w:val="20"/>
          <w:lang w:val="en-US"/>
        </w:rPr>
        <w:t xml:space="preserve">, professor of Department of internal </w:t>
      </w:r>
      <w:r w:rsidR="00501FFE">
        <w:rPr>
          <w:szCs w:val="20"/>
          <w:lang w:val="en-US"/>
        </w:rPr>
        <w:t>propaedeutic</w:t>
      </w:r>
      <w:r w:rsidRPr="00F719F5">
        <w:rPr>
          <w:szCs w:val="20"/>
          <w:lang w:val="en-US"/>
        </w:rPr>
        <w:t>, North-Western State Medical University na</w:t>
      </w:r>
      <w:r w:rsidR="00501FFE">
        <w:rPr>
          <w:szCs w:val="20"/>
          <w:lang w:val="en-US"/>
        </w:rPr>
        <w:t xml:space="preserve">med after I.I. Mechnikov, Saint </w:t>
      </w:r>
      <w:r w:rsidRPr="00F719F5">
        <w:rPr>
          <w:szCs w:val="20"/>
          <w:lang w:val="en-US"/>
        </w:rPr>
        <w:t xml:space="preserve">Petersburg, Russia. Mobile phone: 8 (921) 994-28-07 </w:t>
      </w:r>
      <w:r w:rsidRPr="00F719F5">
        <w:rPr>
          <w:szCs w:val="20"/>
          <w:lang w:val="en-US"/>
        </w:rPr>
        <w:br/>
        <w:t xml:space="preserve">e-mail: </w:t>
      </w:r>
      <w:smartTag w:uri="urn:schemas-microsoft-com:office:smarttags" w:element="PersonName">
        <w:r w:rsidRPr="00F719F5">
          <w:rPr>
            <w:rStyle w:val="Hyperlink"/>
            <w:lang w:val="en-US"/>
          </w:rPr>
          <w:t>avalueva@mail.ru</w:t>
        </w:r>
      </w:smartTag>
      <w:r w:rsidRPr="00F719F5">
        <w:rPr>
          <w:rStyle w:val="Hyperlink"/>
          <w:lang w:val="en-US"/>
        </w:rPr>
        <w:t>.</w:t>
      </w:r>
    </w:p>
    <w:p w:rsidR="00211D6A" w:rsidRPr="00F719F5" w:rsidRDefault="00211D6A" w:rsidP="00501FFE">
      <w:pPr>
        <w:pStyle w:val="1"/>
        <w:ind w:firstLine="709"/>
        <w:rPr>
          <w:iCs/>
          <w:szCs w:val="20"/>
          <w:lang w:val="en-US"/>
        </w:rPr>
      </w:pPr>
      <w:r w:rsidRPr="00F719F5">
        <w:rPr>
          <w:iCs/>
          <w:szCs w:val="20"/>
          <w:lang w:val="en-US"/>
        </w:rPr>
        <w:lastRenderedPageBreak/>
        <w:t xml:space="preserve">Skazyvaeva Ekaterina </w:t>
      </w:r>
      <w:r w:rsidRPr="00F719F5">
        <w:rPr>
          <w:rStyle w:val="go"/>
          <w:szCs w:val="20"/>
          <w:lang w:val="en-US"/>
        </w:rPr>
        <w:t xml:space="preserve">Vasiljevna </w:t>
      </w:r>
      <w:r w:rsidRPr="00F719F5">
        <w:rPr>
          <w:iCs/>
          <w:szCs w:val="20"/>
          <w:lang w:val="en-US"/>
        </w:rPr>
        <w:t xml:space="preserve">– </w:t>
      </w:r>
      <w:r w:rsidRPr="00F719F5">
        <w:rPr>
          <w:szCs w:val="20"/>
          <w:lang w:val="en-US"/>
        </w:rPr>
        <w:t xml:space="preserve">PhD, associate professor of </w:t>
      </w:r>
      <w:r w:rsidR="00501FFE" w:rsidRPr="00F719F5">
        <w:rPr>
          <w:szCs w:val="20"/>
          <w:lang w:val="en-US"/>
        </w:rPr>
        <w:t xml:space="preserve">Department of internal </w:t>
      </w:r>
      <w:r w:rsidR="00501FFE">
        <w:rPr>
          <w:szCs w:val="20"/>
          <w:lang w:val="en-US"/>
        </w:rPr>
        <w:t>propaedeuti</w:t>
      </w:r>
      <w:r w:rsidR="001602B8">
        <w:rPr>
          <w:szCs w:val="20"/>
          <w:lang w:val="en-US"/>
        </w:rPr>
        <w:t>c</w:t>
      </w:r>
      <w:r w:rsidRPr="00F719F5">
        <w:rPr>
          <w:szCs w:val="20"/>
          <w:lang w:val="en-US"/>
        </w:rPr>
        <w:t>, North-Western State Medical University na</w:t>
      </w:r>
      <w:r w:rsidR="00501FFE">
        <w:rPr>
          <w:szCs w:val="20"/>
          <w:lang w:val="en-US"/>
        </w:rPr>
        <w:t xml:space="preserve">med after I.I. Mechnikov, Saint </w:t>
      </w:r>
      <w:r w:rsidRPr="00F719F5">
        <w:rPr>
          <w:szCs w:val="20"/>
          <w:lang w:val="en-US"/>
        </w:rPr>
        <w:t xml:space="preserve">Petersburg, Russia. Phone: 8 (812) 543-95-38, e-mail: </w:t>
      </w:r>
      <w:smartTag w:uri="urn:schemas-microsoft-com:office:smarttags" w:element="PersonName">
        <w:r w:rsidRPr="00F719F5">
          <w:rPr>
            <w:rStyle w:val="Hyperlink"/>
            <w:lang w:val="en-US"/>
          </w:rPr>
          <w:t>skazyvaeva@yandex.ru</w:t>
        </w:r>
      </w:smartTag>
      <w:r w:rsidRPr="00F719F5">
        <w:rPr>
          <w:rStyle w:val="Hyperlink"/>
          <w:lang w:val="en-US"/>
        </w:rPr>
        <w:t>.</w:t>
      </w:r>
    </w:p>
    <w:p w:rsidR="00211D6A" w:rsidRPr="00F719F5" w:rsidRDefault="00211D6A" w:rsidP="00501FFE">
      <w:pPr>
        <w:pStyle w:val="1"/>
        <w:ind w:firstLine="709"/>
        <w:rPr>
          <w:spacing w:val="80"/>
          <w:sz w:val="40"/>
          <w:lang w:val="en-US"/>
        </w:rPr>
      </w:pPr>
      <w:r w:rsidRPr="00F719F5">
        <w:rPr>
          <w:iCs/>
          <w:szCs w:val="20"/>
          <w:lang w:val="en-US"/>
        </w:rPr>
        <w:t>Ivanov Sergey Vital</w:t>
      </w:r>
      <w:r>
        <w:rPr>
          <w:iCs/>
          <w:szCs w:val="20"/>
          <w:lang w:val="en-US"/>
        </w:rPr>
        <w:t>y</w:t>
      </w:r>
      <w:r w:rsidRPr="00F719F5">
        <w:rPr>
          <w:iCs/>
          <w:szCs w:val="20"/>
          <w:lang w:val="en-US"/>
        </w:rPr>
        <w:t xml:space="preserve">evich – </w:t>
      </w:r>
      <w:r w:rsidRPr="00F719F5">
        <w:rPr>
          <w:szCs w:val="20"/>
          <w:lang w:val="en-US"/>
        </w:rPr>
        <w:t xml:space="preserve">PhD, associate professor of </w:t>
      </w:r>
      <w:r w:rsidR="00501FFE" w:rsidRPr="00F719F5">
        <w:rPr>
          <w:szCs w:val="20"/>
          <w:lang w:val="en-US"/>
        </w:rPr>
        <w:t xml:space="preserve">Department of internal </w:t>
      </w:r>
      <w:r w:rsidR="00501FFE">
        <w:rPr>
          <w:szCs w:val="20"/>
          <w:lang w:val="en-US"/>
        </w:rPr>
        <w:t>propaedeuti</w:t>
      </w:r>
      <w:r w:rsidR="001602B8">
        <w:rPr>
          <w:szCs w:val="20"/>
          <w:lang w:val="en-US"/>
        </w:rPr>
        <w:t>c</w:t>
      </w:r>
      <w:r w:rsidRPr="00F719F5">
        <w:rPr>
          <w:szCs w:val="20"/>
          <w:lang w:val="en-US"/>
        </w:rPr>
        <w:t>, North-Western State Medical University na</w:t>
      </w:r>
      <w:r w:rsidR="00501FFE">
        <w:rPr>
          <w:szCs w:val="20"/>
          <w:lang w:val="en-US"/>
        </w:rPr>
        <w:t xml:space="preserve">med after I.I. Mechnikov, Saint </w:t>
      </w:r>
      <w:r w:rsidRPr="00F719F5">
        <w:rPr>
          <w:szCs w:val="20"/>
          <w:lang w:val="en-US"/>
        </w:rPr>
        <w:t xml:space="preserve">Petersburg, Russia. Phone: 8 (905) 209-60-01, 8 (812) 543-95-38, e-mail: </w:t>
      </w:r>
      <w:r w:rsidRPr="00F719F5">
        <w:rPr>
          <w:rStyle w:val="Hyperlink"/>
          <w:lang w:val="en-US"/>
        </w:rPr>
        <w:t>ivanov.sv@mail.ru.</w:t>
      </w:r>
      <w:r w:rsidRPr="00F719F5">
        <w:rPr>
          <w:iCs/>
          <w:sz w:val="40"/>
          <w:lang w:val="en-US"/>
        </w:rPr>
        <w:t xml:space="preserve"> </w:t>
      </w:r>
    </w:p>
    <w:p w:rsidR="00211D6A" w:rsidRPr="005B75D2" w:rsidRDefault="00211D6A" w:rsidP="001602B8">
      <w:pPr>
        <w:pStyle w:val="1"/>
        <w:ind w:firstLine="709"/>
        <w:rPr>
          <w:rStyle w:val="Hyperlink"/>
          <w:lang w:val="en-US"/>
        </w:rPr>
      </w:pPr>
      <w:r w:rsidRPr="00F719F5">
        <w:rPr>
          <w:iCs/>
          <w:szCs w:val="20"/>
          <w:lang w:val="en-US"/>
        </w:rPr>
        <w:t>Lapinskii Igor Va</w:t>
      </w:r>
      <w:r w:rsidR="00501FFE">
        <w:rPr>
          <w:iCs/>
          <w:szCs w:val="20"/>
          <w:lang w:val="en-US"/>
        </w:rPr>
        <w:t xml:space="preserve">dimovich – postgraduate student, </w:t>
      </w:r>
      <w:r w:rsidRPr="00F719F5">
        <w:rPr>
          <w:szCs w:val="20"/>
          <w:lang w:val="en-US"/>
        </w:rPr>
        <w:t xml:space="preserve">North-Western State Medical University named after I.I. Mechnikov: </w:t>
      </w:r>
      <w:r w:rsidR="001602B8">
        <w:rPr>
          <w:szCs w:val="20"/>
          <w:lang w:val="en-US"/>
        </w:rPr>
        <w:t>Department</w:t>
      </w:r>
      <w:r w:rsidRPr="00F719F5">
        <w:rPr>
          <w:szCs w:val="20"/>
          <w:lang w:val="en-US"/>
        </w:rPr>
        <w:t xml:space="preserve"> of internal </w:t>
      </w:r>
      <w:r w:rsidR="00501FFE">
        <w:rPr>
          <w:szCs w:val="20"/>
          <w:lang w:val="en-US"/>
        </w:rPr>
        <w:t>propaedeutic</w:t>
      </w:r>
      <w:r w:rsidRPr="00F719F5">
        <w:rPr>
          <w:szCs w:val="20"/>
          <w:lang w:val="en-US"/>
        </w:rPr>
        <w:t>, Saint</w:t>
      </w:r>
      <w:r w:rsidR="00501FFE">
        <w:rPr>
          <w:szCs w:val="20"/>
          <w:lang w:val="en-US"/>
        </w:rPr>
        <w:t xml:space="preserve"> </w:t>
      </w:r>
      <w:r w:rsidRPr="00F719F5">
        <w:rPr>
          <w:szCs w:val="20"/>
          <w:lang w:val="en-US"/>
        </w:rPr>
        <w:t>Petersburg, Russia. Mobile</w:t>
      </w:r>
      <w:r w:rsidRPr="005B75D2">
        <w:rPr>
          <w:szCs w:val="20"/>
          <w:lang w:val="en-US"/>
        </w:rPr>
        <w:t xml:space="preserve"> </w:t>
      </w:r>
      <w:r w:rsidRPr="00F719F5">
        <w:rPr>
          <w:szCs w:val="20"/>
          <w:lang w:val="en-US"/>
        </w:rPr>
        <w:t>phone</w:t>
      </w:r>
      <w:r w:rsidRPr="005B75D2">
        <w:rPr>
          <w:szCs w:val="20"/>
          <w:lang w:val="en-US"/>
        </w:rPr>
        <w:t xml:space="preserve">: 8 (911) 734-09-80, </w:t>
      </w:r>
      <w:r w:rsidRPr="00F719F5">
        <w:rPr>
          <w:szCs w:val="20"/>
          <w:lang w:val="en-US"/>
        </w:rPr>
        <w:t>e</w:t>
      </w:r>
      <w:r w:rsidRPr="005B75D2">
        <w:rPr>
          <w:szCs w:val="20"/>
          <w:lang w:val="en-US"/>
        </w:rPr>
        <w:t>-</w:t>
      </w:r>
      <w:r w:rsidRPr="00F719F5">
        <w:rPr>
          <w:szCs w:val="20"/>
          <w:lang w:val="en-US"/>
        </w:rPr>
        <w:t>mail</w:t>
      </w:r>
      <w:r w:rsidRPr="005B75D2">
        <w:rPr>
          <w:szCs w:val="20"/>
          <w:lang w:val="en-US"/>
        </w:rPr>
        <w:t xml:space="preserve">: </w:t>
      </w:r>
      <w:hyperlink r:id="rId6" w:history="1">
        <w:r w:rsidRPr="00F719F5">
          <w:rPr>
            <w:rStyle w:val="Hyperlink"/>
            <w:lang w:val="en-US"/>
          </w:rPr>
          <w:t>lapinsky</w:t>
        </w:r>
        <w:r w:rsidRPr="005B75D2">
          <w:rPr>
            <w:rStyle w:val="Hyperlink"/>
            <w:lang w:val="en-US"/>
          </w:rPr>
          <w:t>85@</w:t>
        </w:r>
        <w:r w:rsidRPr="00F719F5">
          <w:rPr>
            <w:rStyle w:val="Hyperlink"/>
            <w:lang w:val="en-US"/>
          </w:rPr>
          <w:t>yandex</w:t>
        </w:r>
        <w:r w:rsidRPr="005B75D2">
          <w:rPr>
            <w:rStyle w:val="Hyperlink"/>
            <w:lang w:val="en-US"/>
          </w:rPr>
          <w:t>.</w:t>
        </w:r>
        <w:r w:rsidRPr="00F719F5">
          <w:rPr>
            <w:rStyle w:val="Hyperlink"/>
            <w:lang w:val="en-US"/>
          </w:rPr>
          <w:t>ru</w:t>
        </w:r>
      </w:hyperlink>
      <w:r w:rsidRPr="005B75D2">
        <w:rPr>
          <w:rStyle w:val="Hyperlink"/>
          <w:lang w:val="en-US"/>
        </w:rPr>
        <w:t>.</w:t>
      </w:r>
    </w:p>
    <w:p w:rsidR="00211D6A" w:rsidRDefault="00211D6A" w:rsidP="001602B8">
      <w:pPr>
        <w:pStyle w:val="1"/>
        <w:ind w:firstLine="709"/>
        <w:rPr>
          <w:rStyle w:val="Hyperlink"/>
          <w:lang w:val="en-US"/>
        </w:rPr>
      </w:pPr>
      <w:r>
        <w:rPr>
          <w:iCs/>
          <w:szCs w:val="20"/>
          <w:lang w:val="en-US"/>
        </w:rPr>
        <w:t>Pushkina Anna Vasilievna</w:t>
      </w:r>
      <w:r w:rsidRPr="00F719F5">
        <w:rPr>
          <w:iCs/>
          <w:szCs w:val="20"/>
          <w:lang w:val="en-US"/>
        </w:rPr>
        <w:t xml:space="preserve"> </w:t>
      </w:r>
      <w:r>
        <w:rPr>
          <w:iCs/>
          <w:szCs w:val="20"/>
          <w:lang w:val="en-US"/>
        </w:rPr>
        <w:t xml:space="preserve"> </w:t>
      </w:r>
      <w:r w:rsidR="001602B8">
        <w:rPr>
          <w:iCs/>
          <w:szCs w:val="20"/>
          <w:lang w:val="en-US"/>
        </w:rPr>
        <w:t xml:space="preserve">– postgraduate student, </w:t>
      </w:r>
      <w:r w:rsidRPr="00F719F5">
        <w:rPr>
          <w:szCs w:val="20"/>
          <w:lang w:val="en-US"/>
        </w:rPr>
        <w:t xml:space="preserve">North-Western State Medical University named after I.I. Mechnikov: </w:t>
      </w:r>
      <w:r w:rsidR="001602B8" w:rsidRPr="00F719F5">
        <w:rPr>
          <w:szCs w:val="20"/>
          <w:lang w:val="en-US"/>
        </w:rPr>
        <w:t xml:space="preserve">Department of internal </w:t>
      </w:r>
      <w:r w:rsidR="001602B8">
        <w:rPr>
          <w:szCs w:val="20"/>
          <w:lang w:val="en-US"/>
        </w:rPr>
        <w:t>propaedeutic</w:t>
      </w:r>
      <w:r w:rsidR="00501FFE" w:rsidRPr="00F719F5">
        <w:rPr>
          <w:szCs w:val="20"/>
          <w:lang w:val="en-US"/>
        </w:rPr>
        <w:t>, Saint</w:t>
      </w:r>
      <w:r w:rsidR="00501FFE">
        <w:rPr>
          <w:szCs w:val="20"/>
          <w:lang w:val="en-US"/>
        </w:rPr>
        <w:t xml:space="preserve"> Petersburg, Russia</w:t>
      </w:r>
      <w:r w:rsidRPr="00F719F5">
        <w:rPr>
          <w:szCs w:val="20"/>
          <w:lang w:val="en-US"/>
        </w:rPr>
        <w:t>. Mobile</w:t>
      </w:r>
      <w:r w:rsidRPr="004A3893">
        <w:rPr>
          <w:szCs w:val="20"/>
          <w:lang w:val="en-US"/>
        </w:rPr>
        <w:t xml:space="preserve"> </w:t>
      </w:r>
      <w:r w:rsidRPr="00F719F5">
        <w:rPr>
          <w:szCs w:val="20"/>
          <w:lang w:val="en-US"/>
        </w:rPr>
        <w:t>phone</w:t>
      </w:r>
      <w:r w:rsidRPr="004A3893">
        <w:rPr>
          <w:szCs w:val="20"/>
          <w:lang w:val="en-US"/>
        </w:rPr>
        <w:t xml:space="preserve">: </w:t>
      </w:r>
      <w:r w:rsidRPr="00FB31D3">
        <w:rPr>
          <w:szCs w:val="20"/>
          <w:lang w:val="en-US"/>
        </w:rPr>
        <w:t>8</w:t>
      </w:r>
      <w:r w:rsidRPr="00817017">
        <w:rPr>
          <w:szCs w:val="20"/>
          <w:lang w:val="en-US"/>
        </w:rPr>
        <w:t> </w:t>
      </w:r>
      <w:r w:rsidRPr="00FB31D3">
        <w:rPr>
          <w:szCs w:val="20"/>
          <w:lang w:val="en-US"/>
        </w:rPr>
        <w:t>(9</w:t>
      </w:r>
      <w:r>
        <w:rPr>
          <w:szCs w:val="20"/>
          <w:lang w:val="en-US"/>
        </w:rPr>
        <w:t>8</w:t>
      </w:r>
      <w:r w:rsidRPr="00FB31D3">
        <w:rPr>
          <w:szCs w:val="20"/>
          <w:lang w:val="en-US"/>
        </w:rPr>
        <w:t>1)</w:t>
      </w:r>
      <w:r w:rsidRPr="00817017">
        <w:rPr>
          <w:szCs w:val="20"/>
          <w:lang w:val="en-US"/>
        </w:rPr>
        <w:t> </w:t>
      </w:r>
      <w:r w:rsidRPr="00FB31D3">
        <w:rPr>
          <w:szCs w:val="20"/>
          <w:lang w:val="en-US"/>
        </w:rPr>
        <w:t>7</w:t>
      </w:r>
      <w:r>
        <w:rPr>
          <w:szCs w:val="20"/>
          <w:lang w:val="en-US"/>
        </w:rPr>
        <w:t>01-76</w:t>
      </w:r>
      <w:r w:rsidRPr="00FB31D3">
        <w:rPr>
          <w:szCs w:val="20"/>
          <w:lang w:val="en-US"/>
        </w:rPr>
        <w:t>-</w:t>
      </w:r>
      <w:r>
        <w:rPr>
          <w:szCs w:val="20"/>
          <w:lang w:val="en-US"/>
        </w:rPr>
        <w:t>23</w:t>
      </w:r>
      <w:r w:rsidRPr="00FB31D3">
        <w:rPr>
          <w:szCs w:val="20"/>
          <w:lang w:val="en-US"/>
        </w:rPr>
        <w:t xml:space="preserve">, </w:t>
      </w:r>
      <w:r w:rsidRPr="00F719F5">
        <w:rPr>
          <w:szCs w:val="20"/>
          <w:lang w:val="en-US"/>
        </w:rPr>
        <w:t>e</w:t>
      </w:r>
      <w:r w:rsidRPr="00FB31D3">
        <w:rPr>
          <w:szCs w:val="20"/>
          <w:lang w:val="en-US"/>
        </w:rPr>
        <w:t>-</w:t>
      </w:r>
      <w:r w:rsidRPr="00F719F5">
        <w:rPr>
          <w:szCs w:val="20"/>
          <w:lang w:val="en-US"/>
        </w:rPr>
        <w:t>mail</w:t>
      </w:r>
      <w:r w:rsidRPr="00FB31D3">
        <w:rPr>
          <w:szCs w:val="20"/>
          <w:lang w:val="en-US"/>
        </w:rPr>
        <w:t xml:space="preserve">: </w:t>
      </w:r>
      <w:hyperlink r:id="rId7" w:history="1">
        <w:r w:rsidRPr="00581E62">
          <w:rPr>
            <w:rStyle w:val="Hyperlink"/>
            <w:szCs w:val="20"/>
            <w:lang w:val="en-US"/>
          </w:rPr>
          <w:t>pushkina.anna.md</w:t>
        </w:r>
        <w:r w:rsidRPr="00581E62">
          <w:rPr>
            <w:rStyle w:val="Hyperlink"/>
            <w:lang w:val="en-US"/>
          </w:rPr>
          <w:t>@mail.ru</w:t>
        </w:r>
      </w:hyperlink>
      <w:r w:rsidRPr="00FB31D3">
        <w:rPr>
          <w:rStyle w:val="Hyperlink"/>
          <w:lang w:val="en-US"/>
        </w:rPr>
        <w:t>.</w:t>
      </w:r>
    </w:p>
    <w:p w:rsidR="00211D6A" w:rsidRPr="00A04D1B" w:rsidRDefault="00211D6A" w:rsidP="001602B8">
      <w:pPr>
        <w:pStyle w:val="1"/>
        <w:ind w:firstLine="709"/>
        <w:rPr>
          <w:iCs/>
          <w:szCs w:val="20"/>
          <w:lang w:val="en-US"/>
        </w:rPr>
      </w:pPr>
      <w:r w:rsidRPr="006374DA">
        <w:rPr>
          <w:iCs/>
          <w:szCs w:val="20"/>
          <w:lang w:val="en-US"/>
        </w:rPr>
        <w:t>Medvedeva Olga Ivanovna</w:t>
      </w:r>
      <w:r w:rsidRPr="00F719F5">
        <w:rPr>
          <w:iCs/>
          <w:szCs w:val="20"/>
          <w:lang w:val="en-US"/>
        </w:rPr>
        <w:t xml:space="preserve">– </w:t>
      </w:r>
      <w:r w:rsidRPr="00F719F5">
        <w:rPr>
          <w:szCs w:val="20"/>
          <w:lang w:val="en-US"/>
        </w:rPr>
        <w:t xml:space="preserve">PhD, associate professor of </w:t>
      </w:r>
      <w:r w:rsidR="001602B8" w:rsidRPr="00F719F5">
        <w:rPr>
          <w:szCs w:val="20"/>
          <w:lang w:val="en-US"/>
        </w:rPr>
        <w:t xml:space="preserve">Department of internal </w:t>
      </w:r>
      <w:r w:rsidR="001602B8">
        <w:rPr>
          <w:szCs w:val="20"/>
          <w:lang w:val="en-US"/>
        </w:rPr>
        <w:t>propaedeutic</w:t>
      </w:r>
      <w:r w:rsidRPr="00F719F5">
        <w:rPr>
          <w:szCs w:val="20"/>
          <w:lang w:val="en-US"/>
        </w:rPr>
        <w:t>, North-Western State Medical University na</w:t>
      </w:r>
      <w:r>
        <w:rPr>
          <w:szCs w:val="20"/>
          <w:lang w:val="en-US"/>
        </w:rPr>
        <w:t xml:space="preserve">med after I.I. Mechnikov, Saint </w:t>
      </w:r>
      <w:r w:rsidRPr="00F719F5">
        <w:rPr>
          <w:szCs w:val="20"/>
          <w:lang w:val="en-US"/>
        </w:rPr>
        <w:t>Petersburg, Russia. Phone</w:t>
      </w:r>
      <w:r w:rsidRPr="00A04D1B">
        <w:rPr>
          <w:szCs w:val="20"/>
          <w:lang w:val="en-US"/>
        </w:rPr>
        <w:t>: 8</w:t>
      </w:r>
      <w:r w:rsidRPr="00F719F5">
        <w:rPr>
          <w:szCs w:val="20"/>
          <w:lang w:val="en-US"/>
        </w:rPr>
        <w:t> </w:t>
      </w:r>
      <w:r w:rsidRPr="00A04D1B">
        <w:rPr>
          <w:szCs w:val="20"/>
          <w:lang w:val="en-US"/>
        </w:rPr>
        <w:t xml:space="preserve">(812) 543-95-38, </w:t>
      </w:r>
      <w:r w:rsidRPr="00F719F5">
        <w:rPr>
          <w:szCs w:val="20"/>
          <w:lang w:val="en-US"/>
        </w:rPr>
        <w:t>e</w:t>
      </w:r>
      <w:r w:rsidRPr="00A04D1B">
        <w:rPr>
          <w:szCs w:val="20"/>
          <w:lang w:val="en-US"/>
        </w:rPr>
        <w:t>-</w:t>
      </w:r>
      <w:r w:rsidRPr="00F719F5">
        <w:rPr>
          <w:szCs w:val="20"/>
          <w:lang w:val="en-US"/>
        </w:rPr>
        <w:t>mail</w:t>
      </w:r>
      <w:r w:rsidRPr="00A04D1B">
        <w:rPr>
          <w:szCs w:val="20"/>
          <w:lang w:val="en-US"/>
        </w:rPr>
        <w:t xml:space="preserve">: </w:t>
      </w:r>
      <w:r>
        <w:rPr>
          <w:rStyle w:val="Hyperlink"/>
          <w:lang w:val="en-US"/>
        </w:rPr>
        <w:t>olga</w:t>
      </w:r>
      <w:r w:rsidRPr="00A04D1B">
        <w:rPr>
          <w:rStyle w:val="Hyperlink"/>
          <w:lang w:val="en-US"/>
        </w:rPr>
        <w:t>.</w:t>
      </w:r>
      <w:r>
        <w:rPr>
          <w:rStyle w:val="Hyperlink"/>
          <w:lang w:val="en-US"/>
        </w:rPr>
        <w:t>medvedeva</w:t>
      </w:r>
      <w:r w:rsidRPr="00A04D1B">
        <w:rPr>
          <w:rStyle w:val="Hyperlink"/>
          <w:lang w:val="en-US"/>
        </w:rPr>
        <w:t>@</w:t>
      </w:r>
      <w:r>
        <w:rPr>
          <w:rStyle w:val="Hyperlink"/>
          <w:lang w:val="en-US"/>
        </w:rPr>
        <w:t>spbmapo</w:t>
      </w:r>
      <w:r w:rsidRPr="00A04D1B">
        <w:rPr>
          <w:rStyle w:val="Hyperlink"/>
          <w:lang w:val="en-US"/>
        </w:rPr>
        <w:t>.</w:t>
      </w:r>
      <w:r>
        <w:rPr>
          <w:rStyle w:val="Hyperlink"/>
          <w:lang w:val="en-US"/>
        </w:rPr>
        <w:t>ru</w:t>
      </w:r>
      <w:r w:rsidRPr="00A04D1B">
        <w:rPr>
          <w:rStyle w:val="Hyperlink"/>
          <w:lang w:val="en-US"/>
        </w:rPr>
        <w:t>.</w:t>
      </w:r>
    </w:p>
    <w:p w:rsidR="00211D6A" w:rsidRDefault="00211D6A" w:rsidP="00211D6A">
      <w:pPr>
        <w:rPr>
          <w:rFonts w:asciiTheme="majorBidi" w:hAnsiTheme="majorBidi" w:cstheme="majorBidi"/>
          <w:sz w:val="28"/>
          <w:szCs w:val="28"/>
          <w:lang w:val="en-US"/>
        </w:rPr>
      </w:pPr>
    </w:p>
    <w:p w:rsidR="0038754C" w:rsidRPr="00F86AC4" w:rsidRDefault="0038754C" w:rsidP="0038754C">
      <w:pPr>
        <w:jc w:val="center"/>
        <w:rPr>
          <w:rFonts w:asciiTheme="majorBidi" w:hAnsiTheme="majorBidi" w:cstheme="majorBidi"/>
          <w:b/>
          <w:bCs/>
          <w:lang w:val="en-US"/>
        </w:rPr>
      </w:pPr>
      <w:r w:rsidRPr="00F86AC4">
        <w:rPr>
          <w:rFonts w:asciiTheme="majorBidi" w:hAnsiTheme="majorBidi" w:cstheme="majorBidi"/>
          <w:b/>
          <w:bCs/>
          <w:lang w:val="en-US"/>
        </w:rPr>
        <w:lastRenderedPageBreak/>
        <w:t>INTRODUCTION</w:t>
      </w:r>
    </w:p>
    <w:p w:rsidR="0038754C" w:rsidRDefault="0038754C" w:rsidP="003D0485">
      <w:pPr>
        <w:rPr>
          <w:rFonts w:asciiTheme="majorBidi" w:hAnsiTheme="majorBidi" w:cstheme="majorBidi"/>
          <w:sz w:val="28"/>
          <w:szCs w:val="28"/>
          <w:lang w:val="en-US"/>
        </w:rPr>
      </w:pPr>
      <w:r w:rsidRPr="00F86AC4">
        <w:rPr>
          <w:rFonts w:asciiTheme="majorBidi" w:hAnsiTheme="majorBidi" w:cstheme="majorBidi"/>
          <w:sz w:val="28"/>
          <w:szCs w:val="28"/>
          <w:lang w:val="en-US"/>
        </w:rPr>
        <w:t>Irritable bowel syndrome refers to psychosocial functional gastrointestinal disorders</w:t>
      </w:r>
      <w:r w:rsidR="00FA69CF">
        <w:rPr>
          <w:rFonts w:asciiTheme="majorBidi" w:hAnsiTheme="majorBidi" w:cstheme="majorBidi"/>
          <w:sz w:val="28"/>
          <w:szCs w:val="28"/>
          <w:lang w:val="en-US"/>
        </w:rPr>
        <w:t xml:space="preserve"> manifested</w:t>
      </w:r>
      <w:r w:rsidR="00FA69CF" w:rsidRPr="00B67F20">
        <w:rPr>
          <w:rFonts w:asciiTheme="majorBidi" w:hAnsiTheme="majorBidi" w:cstheme="majorBidi"/>
          <w:sz w:val="28"/>
          <w:szCs w:val="28"/>
          <w:lang w:val="en-US"/>
        </w:rPr>
        <w:t xml:space="preserve"> by recurrent abdominal pain and impaired bowel evacuation frequency in the absence of its organic changes</w:t>
      </w:r>
      <w:r w:rsidR="005139F9">
        <w:rPr>
          <w:rFonts w:asciiTheme="majorBidi" w:hAnsiTheme="majorBidi" w:cstheme="majorBidi"/>
          <w:sz w:val="28"/>
          <w:szCs w:val="28"/>
          <w:lang w:val="en-US"/>
        </w:rPr>
        <w:t xml:space="preserve"> [1]</w:t>
      </w:r>
      <w:r w:rsidRPr="00F86AC4">
        <w:rPr>
          <w:rFonts w:asciiTheme="majorBidi" w:hAnsiTheme="majorBidi" w:cstheme="majorBidi"/>
          <w:sz w:val="28"/>
          <w:szCs w:val="28"/>
          <w:lang w:val="en-US"/>
        </w:rPr>
        <w:t>.</w:t>
      </w:r>
      <w:r w:rsidR="003D0485">
        <w:rPr>
          <w:rFonts w:asciiTheme="majorBidi" w:hAnsiTheme="majorBidi" w:cstheme="majorBidi"/>
          <w:sz w:val="28"/>
          <w:szCs w:val="28"/>
          <w:lang w:val="en-US"/>
        </w:rPr>
        <w:t xml:space="preserve"> Deterioration of QOL of IBS patients</w:t>
      </w:r>
      <w:r w:rsidR="00D632E9">
        <w:rPr>
          <w:rFonts w:asciiTheme="majorBidi" w:hAnsiTheme="majorBidi" w:cstheme="majorBidi"/>
          <w:sz w:val="28"/>
          <w:szCs w:val="28"/>
          <w:lang w:val="en-US"/>
        </w:rPr>
        <w:t xml:space="preserve"> influences the</w:t>
      </w:r>
      <w:r w:rsidR="00BF4284">
        <w:rPr>
          <w:rFonts w:asciiTheme="majorBidi" w:hAnsiTheme="majorBidi" w:cstheme="majorBidi"/>
          <w:sz w:val="28"/>
          <w:szCs w:val="28"/>
          <w:lang w:val="en-US"/>
        </w:rPr>
        <w:t xml:space="preserve"> disability</w:t>
      </w:r>
      <w:r w:rsidR="00D632E9">
        <w:rPr>
          <w:rFonts w:asciiTheme="majorBidi" w:hAnsiTheme="majorBidi" w:cstheme="majorBidi"/>
          <w:sz w:val="28"/>
          <w:szCs w:val="28"/>
          <w:lang w:val="en-US"/>
        </w:rPr>
        <w:t xml:space="preserve"> duration</w:t>
      </w:r>
      <w:r w:rsidR="009D01ED">
        <w:rPr>
          <w:rFonts w:asciiTheme="majorBidi" w:hAnsiTheme="majorBidi" w:cstheme="majorBidi"/>
          <w:sz w:val="28"/>
          <w:szCs w:val="28"/>
          <w:lang w:val="en-US"/>
        </w:rPr>
        <w:t xml:space="preserve"> and, as a consequence, deteriora</w:t>
      </w:r>
      <w:r w:rsidR="005021F6">
        <w:rPr>
          <w:rFonts w:asciiTheme="majorBidi" w:hAnsiTheme="majorBidi" w:cstheme="majorBidi"/>
          <w:sz w:val="28"/>
          <w:szCs w:val="28"/>
          <w:lang w:val="en-US"/>
        </w:rPr>
        <w:t xml:space="preserve">tes economic and social losses; it should be noted that </w:t>
      </w:r>
      <w:r w:rsidR="001D421C">
        <w:rPr>
          <w:rFonts w:asciiTheme="majorBidi" w:hAnsiTheme="majorBidi" w:cstheme="majorBidi"/>
          <w:sz w:val="28"/>
          <w:szCs w:val="28"/>
          <w:lang w:val="en-US"/>
        </w:rPr>
        <w:t>the highest incidence is among young working people</w:t>
      </w:r>
      <w:r w:rsidR="00297768">
        <w:rPr>
          <w:rFonts w:asciiTheme="majorBidi" w:hAnsiTheme="majorBidi" w:cstheme="majorBidi"/>
          <w:sz w:val="28"/>
          <w:szCs w:val="28"/>
          <w:lang w:val="en-US"/>
        </w:rPr>
        <w:t xml:space="preserve"> (at the age from 24 to 41) [2]</w:t>
      </w:r>
      <w:r w:rsidR="001D421C">
        <w:rPr>
          <w:rFonts w:asciiTheme="majorBidi" w:hAnsiTheme="majorBidi" w:cstheme="majorBidi"/>
          <w:sz w:val="28"/>
          <w:szCs w:val="28"/>
          <w:lang w:val="en-US"/>
        </w:rPr>
        <w:t>.</w:t>
      </w:r>
    </w:p>
    <w:p w:rsidR="00CF546F" w:rsidRDefault="000E4559" w:rsidP="00CF546F">
      <w:pPr>
        <w:rPr>
          <w:rFonts w:asciiTheme="majorBidi" w:hAnsiTheme="majorBidi" w:cstheme="majorBidi"/>
          <w:sz w:val="28"/>
          <w:szCs w:val="28"/>
          <w:lang w:val="en-US"/>
        </w:rPr>
      </w:pPr>
      <w:r>
        <w:rPr>
          <w:rFonts w:asciiTheme="majorBidi" w:hAnsiTheme="majorBidi" w:cstheme="majorBidi"/>
          <w:sz w:val="28"/>
          <w:szCs w:val="28"/>
          <w:lang w:val="en-US"/>
        </w:rPr>
        <w:t xml:space="preserve">Nowadays, considering the absence of the unified diagnostic test </w:t>
      </w:r>
      <w:r w:rsidR="00A16CA7">
        <w:rPr>
          <w:rFonts w:asciiTheme="majorBidi" w:hAnsiTheme="majorBidi" w:cstheme="majorBidi"/>
          <w:sz w:val="28"/>
          <w:szCs w:val="28"/>
          <w:lang w:val="en-US"/>
        </w:rPr>
        <w:t xml:space="preserve">(marker), it is </w:t>
      </w:r>
      <w:r w:rsidR="00580DC1">
        <w:rPr>
          <w:rFonts w:asciiTheme="majorBidi" w:hAnsiTheme="majorBidi" w:cstheme="majorBidi"/>
          <w:sz w:val="28"/>
          <w:szCs w:val="28"/>
          <w:lang w:val="en-US"/>
        </w:rPr>
        <w:t xml:space="preserve">a common practice to </w:t>
      </w:r>
      <w:r w:rsidR="005670DD">
        <w:rPr>
          <w:rFonts w:asciiTheme="majorBidi" w:hAnsiTheme="majorBidi" w:cstheme="majorBidi"/>
          <w:sz w:val="28"/>
          <w:szCs w:val="28"/>
          <w:lang w:val="en-US"/>
        </w:rPr>
        <w:t>verify IBS diagnosis a</w:t>
      </w:r>
      <w:r w:rsidR="006357C7" w:rsidRPr="00F86AC4">
        <w:rPr>
          <w:rFonts w:asciiTheme="majorBidi" w:hAnsiTheme="majorBidi" w:cstheme="majorBidi"/>
          <w:sz w:val="28"/>
          <w:szCs w:val="28"/>
          <w:lang w:val="en-US"/>
        </w:rPr>
        <w:t>ccording to Rome criteria (</w:t>
      </w:r>
      <w:r w:rsidR="006357C7">
        <w:rPr>
          <w:rFonts w:asciiTheme="majorBidi" w:hAnsiTheme="majorBidi" w:cstheme="majorBidi"/>
          <w:sz w:val="28"/>
          <w:szCs w:val="28"/>
          <w:lang w:val="en-US"/>
        </w:rPr>
        <w:t xml:space="preserve">version </w:t>
      </w:r>
      <w:r w:rsidR="006357C7" w:rsidRPr="00F86AC4">
        <w:rPr>
          <w:rFonts w:asciiTheme="majorBidi" w:hAnsiTheme="majorBidi" w:cstheme="majorBidi"/>
          <w:sz w:val="28"/>
          <w:szCs w:val="28"/>
          <w:lang w:val="en-US"/>
        </w:rPr>
        <w:t>III</w:t>
      </w:r>
      <w:r w:rsidR="006357C7">
        <w:rPr>
          <w:rFonts w:asciiTheme="majorBidi" w:hAnsiTheme="majorBidi" w:cstheme="majorBidi"/>
          <w:sz w:val="28"/>
          <w:szCs w:val="28"/>
          <w:lang w:val="en-US"/>
        </w:rPr>
        <w:t>)</w:t>
      </w:r>
      <w:r w:rsidR="006357C7" w:rsidRPr="00F86AC4">
        <w:rPr>
          <w:rFonts w:asciiTheme="majorBidi" w:hAnsiTheme="majorBidi" w:cstheme="majorBidi"/>
          <w:sz w:val="28"/>
          <w:szCs w:val="28"/>
          <w:lang w:val="en-US"/>
        </w:rPr>
        <w:t xml:space="preserve">, </w:t>
      </w:r>
      <w:r w:rsidR="00DB7AA3">
        <w:rPr>
          <w:rFonts w:asciiTheme="majorBidi" w:hAnsiTheme="majorBidi" w:cstheme="majorBidi"/>
          <w:sz w:val="28"/>
          <w:szCs w:val="28"/>
          <w:lang w:val="en-US"/>
        </w:rPr>
        <w:t>where the disease</w:t>
      </w:r>
      <w:r w:rsidR="006357C7" w:rsidRPr="00F86AC4">
        <w:rPr>
          <w:rFonts w:asciiTheme="majorBidi" w:hAnsiTheme="majorBidi" w:cstheme="majorBidi"/>
          <w:sz w:val="28"/>
          <w:szCs w:val="28"/>
          <w:lang w:val="en-US"/>
        </w:rPr>
        <w:t xml:space="preserve"> is defined as recurrent abdominal pain or discomfort </w:t>
      </w:r>
      <w:r w:rsidR="006357C7">
        <w:rPr>
          <w:rFonts w:asciiTheme="majorBidi" w:hAnsiTheme="majorBidi" w:cstheme="majorBidi"/>
          <w:sz w:val="28"/>
          <w:szCs w:val="28"/>
          <w:lang w:val="en-US"/>
        </w:rPr>
        <w:t>for</w:t>
      </w:r>
      <w:r w:rsidR="00F51F0C">
        <w:rPr>
          <w:rFonts w:asciiTheme="majorBidi" w:hAnsiTheme="majorBidi" w:cstheme="majorBidi"/>
          <w:sz w:val="28"/>
          <w:szCs w:val="28"/>
          <w:lang w:val="en-US"/>
        </w:rPr>
        <w:t xml:space="preserve"> at least three days per month for three</w:t>
      </w:r>
      <w:r w:rsidR="006357C7" w:rsidRPr="00F86AC4">
        <w:rPr>
          <w:rFonts w:asciiTheme="majorBidi" w:hAnsiTheme="majorBidi" w:cstheme="majorBidi"/>
          <w:sz w:val="28"/>
          <w:szCs w:val="28"/>
          <w:lang w:val="en-US"/>
        </w:rPr>
        <w:t xml:space="preserve"> consecutive months</w:t>
      </w:r>
      <w:r w:rsidR="00563639">
        <w:rPr>
          <w:rFonts w:asciiTheme="majorBidi" w:hAnsiTheme="majorBidi" w:cstheme="majorBidi"/>
          <w:sz w:val="28"/>
          <w:szCs w:val="28"/>
          <w:lang w:val="en-US"/>
        </w:rPr>
        <w:t xml:space="preserve"> that should be noted for at least six months</w:t>
      </w:r>
      <w:r w:rsidR="006357C7" w:rsidRPr="00F86AC4">
        <w:rPr>
          <w:rFonts w:asciiTheme="majorBidi" w:hAnsiTheme="majorBidi" w:cstheme="majorBidi"/>
          <w:sz w:val="28"/>
          <w:szCs w:val="28"/>
          <w:lang w:val="en-US"/>
        </w:rPr>
        <w:t>.</w:t>
      </w:r>
      <w:r w:rsidR="00CF546F">
        <w:rPr>
          <w:rFonts w:asciiTheme="majorBidi" w:hAnsiTheme="majorBidi" w:cstheme="majorBidi"/>
          <w:sz w:val="28"/>
          <w:szCs w:val="28"/>
          <w:lang w:val="en-US"/>
        </w:rPr>
        <w:t xml:space="preserve"> </w:t>
      </w:r>
      <w:r w:rsidR="00CF546F" w:rsidRPr="00F86AC4">
        <w:rPr>
          <w:rFonts w:asciiTheme="majorBidi" w:hAnsiTheme="majorBidi" w:cstheme="majorBidi"/>
          <w:sz w:val="28"/>
          <w:szCs w:val="28"/>
          <w:lang w:val="en-US"/>
        </w:rPr>
        <w:t xml:space="preserve">IBS is associated with the following two or more </w:t>
      </w:r>
      <w:r w:rsidR="00CF546F">
        <w:rPr>
          <w:rFonts w:asciiTheme="majorBidi" w:hAnsiTheme="majorBidi" w:cstheme="majorBidi"/>
          <w:sz w:val="28"/>
          <w:szCs w:val="28"/>
          <w:lang w:val="en-US"/>
        </w:rPr>
        <w:t>characteristics:</w:t>
      </w:r>
    </w:p>
    <w:p w:rsidR="00CF546F" w:rsidRDefault="00CF546F" w:rsidP="00CF546F">
      <w:pPr>
        <w:rPr>
          <w:rFonts w:asciiTheme="majorBidi" w:hAnsiTheme="majorBidi" w:cstheme="majorBidi"/>
          <w:sz w:val="28"/>
          <w:szCs w:val="28"/>
          <w:lang w:val="en-US"/>
        </w:rPr>
      </w:pPr>
      <w:r w:rsidRPr="00F86AC4">
        <w:rPr>
          <w:rFonts w:asciiTheme="majorBidi" w:hAnsiTheme="majorBidi" w:cstheme="majorBidi"/>
          <w:sz w:val="28"/>
          <w:szCs w:val="28"/>
          <w:lang w:val="en-US"/>
        </w:rPr>
        <w:t xml:space="preserve">1) Improvement </w:t>
      </w:r>
      <w:r>
        <w:rPr>
          <w:rFonts w:asciiTheme="majorBidi" w:hAnsiTheme="majorBidi" w:cstheme="majorBidi"/>
          <w:sz w:val="28"/>
          <w:szCs w:val="28"/>
          <w:lang w:val="en-US"/>
        </w:rPr>
        <w:t>after defecation</w:t>
      </w:r>
    </w:p>
    <w:p w:rsidR="00CF546F" w:rsidRDefault="00CF546F" w:rsidP="00CF546F">
      <w:pPr>
        <w:rPr>
          <w:rFonts w:asciiTheme="majorBidi" w:hAnsiTheme="majorBidi" w:cstheme="majorBidi"/>
          <w:sz w:val="28"/>
          <w:szCs w:val="28"/>
          <w:lang w:val="en-US"/>
        </w:rPr>
      </w:pPr>
      <w:r>
        <w:rPr>
          <w:rFonts w:asciiTheme="majorBidi" w:hAnsiTheme="majorBidi" w:cstheme="majorBidi"/>
          <w:sz w:val="28"/>
          <w:szCs w:val="28"/>
          <w:lang w:val="en-US"/>
        </w:rPr>
        <w:t>2) C</w:t>
      </w:r>
      <w:r w:rsidRPr="00F86AC4">
        <w:rPr>
          <w:rFonts w:asciiTheme="majorBidi" w:hAnsiTheme="majorBidi" w:cstheme="majorBidi"/>
          <w:sz w:val="28"/>
          <w:szCs w:val="28"/>
          <w:lang w:val="en-US"/>
        </w:rPr>
        <w:t xml:space="preserve">hange in stool frequency </w:t>
      </w:r>
      <w:r>
        <w:rPr>
          <w:rFonts w:asciiTheme="majorBidi" w:hAnsiTheme="majorBidi" w:cstheme="majorBidi"/>
          <w:sz w:val="28"/>
          <w:szCs w:val="28"/>
          <w:lang w:val="en-US"/>
        </w:rPr>
        <w:t>during the disease</w:t>
      </w:r>
    </w:p>
    <w:p w:rsidR="006357C7" w:rsidRDefault="00CF546F" w:rsidP="00E25765">
      <w:pPr>
        <w:rPr>
          <w:rFonts w:asciiTheme="majorBidi" w:hAnsiTheme="majorBidi" w:cstheme="majorBidi"/>
          <w:sz w:val="28"/>
          <w:szCs w:val="28"/>
          <w:lang w:val="en-US"/>
        </w:rPr>
      </w:pPr>
      <w:r>
        <w:rPr>
          <w:rFonts w:asciiTheme="majorBidi" w:hAnsiTheme="majorBidi" w:cstheme="majorBidi"/>
          <w:sz w:val="28"/>
          <w:szCs w:val="28"/>
          <w:lang w:val="en-US"/>
        </w:rPr>
        <w:t>3) C</w:t>
      </w:r>
      <w:r w:rsidRPr="00F86AC4">
        <w:rPr>
          <w:rFonts w:asciiTheme="majorBidi" w:hAnsiTheme="majorBidi" w:cstheme="majorBidi"/>
          <w:sz w:val="28"/>
          <w:szCs w:val="28"/>
          <w:lang w:val="en-US"/>
        </w:rPr>
        <w:t xml:space="preserve">hange in stool form with the disease onset [17]. </w:t>
      </w:r>
      <w:r w:rsidR="00E25765">
        <w:rPr>
          <w:rFonts w:asciiTheme="majorBidi" w:hAnsiTheme="majorBidi" w:cstheme="majorBidi"/>
          <w:sz w:val="28"/>
          <w:szCs w:val="28"/>
          <w:lang w:val="en-US"/>
        </w:rPr>
        <w:t xml:space="preserve">Considering </w:t>
      </w:r>
      <w:r w:rsidR="00E25765" w:rsidRPr="00F86AC4">
        <w:rPr>
          <w:rFonts w:asciiTheme="majorBidi" w:hAnsiTheme="majorBidi" w:cstheme="majorBidi"/>
          <w:sz w:val="28"/>
          <w:szCs w:val="28"/>
          <w:lang w:val="en-US"/>
        </w:rPr>
        <w:t>Bristol stool form scale</w:t>
      </w:r>
      <w:r w:rsidR="00E25765">
        <w:rPr>
          <w:rFonts w:asciiTheme="majorBidi" w:hAnsiTheme="majorBidi" w:cstheme="majorBidi"/>
          <w:sz w:val="28"/>
          <w:szCs w:val="28"/>
          <w:lang w:val="en-US"/>
        </w:rPr>
        <w:t xml:space="preserve"> and Rome III criteria, it has been proposed to divide </w:t>
      </w:r>
      <w:r w:rsidR="00E25765" w:rsidRPr="00F86AC4">
        <w:rPr>
          <w:rFonts w:asciiTheme="majorBidi" w:hAnsiTheme="majorBidi" w:cstheme="majorBidi"/>
          <w:sz w:val="28"/>
          <w:szCs w:val="28"/>
          <w:lang w:val="en-US"/>
        </w:rPr>
        <w:t>IBS patients into the following groups: IBS with constipation, IBS with diarrhea, mixed type of IBS.</w:t>
      </w:r>
      <w:r w:rsidR="00D25D31">
        <w:rPr>
          <w:rFonts w:asciiTheme="majorBidi" w:hAnsiTheme="majorBidi" w:cstheme="majorBidi"/>
          <w:sz w:val="28"/>
          <w:szCs w:val="28"/>
          <w:lang w:val="en-US"/>
        </w:rPr>
        <w:t xml:space="preserve"> </w:t>
      </w:r>
      <w:r w:rsidR="00D25D31" w:rsidRPr="00F86AC4">
        <w:rPr>
          <w:rFonts w:asciiTheme="majorBidi" w:hAnsiTheme="majorBidi" w:cstheme="majorBidi"/>
          <w:sz w:val="28"/>
          <w:szCs w:val="28"/>
          <w:lang w:val="en-US"/>
        </w:rPr>
        <w:t xml:space="preserve">It is important to note that </w:t>
      </w:r>
      <w:r w:rsidR="00D25D31">
        <w:rPr>
          <w:rFonts w:asciiTheme="majorBidi" w:hAnsiTheme="majorBidi" w:cstheme="majorBidi"/>
          <w:sz w:val="28"/>
          <w:szCs w:val="28"/>
          <w:lang w:val="en-US"/>
        </w:rPr>
        <w:t>in a</w:t>
      </w:r>
      <w:r w:rsidR="00D25D31" w:rsidRPr="00F86AC4">
        <w:rPr>
          <w:rFonts w:asciiTheme="majorBidi" w:hAnsiTheme="majorBidi" w:cstheme="majorBidi"/>
          <w:sz w:val="28"/>
          <w:szCs w:val="28"/>
          <w:lang w:val="en-US"/>
        </w:rPr>
        <w:t xml:space="preserve"> patient different IBS subtypes can vary throughout the illness.</w:t>
      </w:r>
    </w:p>
    <w:p w:rsidR="00F143D4" w:rsidRPr="00F86AC4" w:rsidRDefault="000574B0" w:rsidP="00C01AC6">
      <w:pPr>
        <w:rPr>
          <w:rFonts w:asciiTheme="majorBidi" w:hAnsiTheme="majorBidi" w:cstheme="majorBidi"/>
          <w:sz w:val="28"/>
          <w:szCs w:val="28"/>
          <w:lang w:val="en-US"/>
        </w:rPr>
      </w:pPr>
      <w:r>
        <w:rPr>
          <w:rFonts w:asciiTheme="majorBidi" w:hAnsiTheme="majorBidi" w:cstheme="majorBidi"/>
          <w:sz w:val="28"/>
          <w:szCs w:val="28"/>
          <w:lang w:val="en-US"/>
        </w:rPr>
        <w:t>Application of Roman criteria</w:t>
      </w:r>
      <w:r w:rsidR="00F83620">
        <w:rPr>
          <w:rFonts w:asciiTheme="majorBidi" w:hAnsiTheme="majorBidi" w:cstheme="majorBidi"/>
          <w:sz w:val="28"/>
          <w:szCs w:val="28"/>
          <w:lang w:val="en-US"/>
        </w:rPr>
        <w:t xml:space="preserve"> allo</w:t>
      </w:r>
      <w:r w:rsidR="008D4219">
        <w:rPr>
          <w:rFonts w:asciiTheme="majorBidi" w:hAnsiTheme="majorBidi" w:cstheme="majorBidi"/>
          <w:sz w:val="28"/>
          <w:szCs w:val="28"/>
          <w:lang w:val="en-US"/>
        </w:rPr>
        <w:t>w</w:t>
      </w:r>
      <w:r w:rsidR="00392319">
        <w:rPr>
          <w:rFonts w:asciiTheme="majorBidi" w:hAnsiTheme="majorBidi" w:cstheme="majorBidi"/>
          <w:sz w:val="28"/>
          <w:szCs w:val="28"/>
          <w:lang w:val="en-US"/>
        </w:rPr>
        <w:t>s to adhere to a specific algori</w:t>
      </w:r>
      <w:r w:rsidR="00F83620">
        <w:rPr>
          <w:rFonts w:asciiTheme="majorBidi" w:hAnsiTheme="majorBidi" w:cstheme="majorBidi"/>
          <w:sz w:val="28"/>
          <w:szCs w:val="28"/>
          <w:lang w:val="en-US"/>
        </w:rPr>
        <w:t>thm</w:t>
      </w:r>
      <w:r w:rsidR="00E60503">
        <w:rPr>
          <w:rFonts w:asciiTheme="majorBidi" w:hAnsiTheme="majorBidi" w:cstheme="majorBidi"/>
          <w:sz w:val="28"/>
          <w:szCs w:val="28"/>
          <w:lang w:val="en-US"/>
        </w:rPr>
        <w:t xml:space="preserve"> for IBS verification, which is caused by insufficient study of its pathophysiology.</w:t>
      </w:r>
      <w:r w:rsidR="00CC13DE">
        <w:rPr>
          <w:rFonts w:asciiTheme="majorBidi" w:hAnsiTheme="majorBidi" w:cstheme="majorBidi"/>
          <w:sz w:val="28"/>
          <w:szCs w:val="28"/>
          <w:lang w:val="en-US"/>
        </w:rPr>
        <w:t xml:space="preserve"> </w:t>
      </w:r>
      <w:r w:rsidR="00CC13DE" w:rsidRPr="00F86AC4">
        <w:rPr>
          <w:rFonts w:asciiTheme="majorBidi" w:hAnsiTheme="majorBidi" w:cstheme="majorBidi"/>
          <w:sz w:val="28"/>
          <w:szCs w:val="28"/>
          <w:lang w:val="en-US"/>
        </w:rPr>
        <w:t xml:space="preserve">Most researchers tend to believe that in IBS pathophysiology violation of colonic motility, visceral hypersensitivity (threshold of </w:t>
      </w:r>
      <w:r w:rsidR="00CC13DE">
        <w:rPr>
          <w:rFonts w:asciiTheme="majorBidi" w:hAnsiTheme="majorBidi" w:cstheme="majorBidi"/>
          <w:sz w:val="28"/>
          <w:szCs w:val="28"/>
          <w:lang w:val="en-US"/>
        </w:rPr>
        <w:t>noci</w:t>
      </w:r>
      <w:r w:rsidR="00CC13DE" w:rsidRPr="00F86AC4">
        <w:rPr>
          <w:rFonts w:asciiTheme="majorBidi" w:hAnsiTheme="majorBidi" w:cstheme="majorBidi"/>
          <w:sz w:val="28"/>
          <w:szCs w:val="28"/>
          <w:lang w:val="en-US"/>
        </w:rPr>
        <w:t xml:space="preserve">ception or </w:t>
      </w:r>
      <w:r w:rsidR="00CC13DE">
        <w:rPr>
          <w:rFonts w:asciiTheme="majorBidi" w:hAnsiTheme="majorBidi" w:cstheme="majorBidi"/>
          <w:sz w:val="28"/>
          <w:szCs w:val="28"/>
          <w:lang w:val="en-US"/>
        </w:rPr>
        <w:t>densification</w:t>
      </w:r>
      <w:r w:rsidR="00CC13DE" w:rsidRPr="00F86AC4">
        <w:rPr>
          <w:rFonts w:asciiTheme="majorBidi" w:hAnsiTheme="majorBidi" w:cstheme="majorBidi"/>
          <w:sz w:val="28"/>
          <w:szCs w:val="28"/>
          <w:lang w:val="en-US"/>
        </w:rPr>
        <w:t xml:space="preserve"> of pain impulses </w:t>
      </w:r>
      <w:r w:rsidR="00CC13DE">
        <w:rPr>
          <w:rFonts w:asciiTheme="majorBidi" w:hAnsiTheme="majorBidi" w:cstheme="majorBidi"/>
          <w:sz w:val="28"/>
          <w:szCs w:val="28"/>
          <w:lang w:val="en-US"/>
        </w:rPr>
        <w:t>with</w:t>
      </w:r>
      <w:r w:rsidR="00CC13DE" w:rsidRPr="00F86AC4">
        <w:rPr>
          <w:rFonts w:asciiTheme="majorBidi" w:hAnsiTheme="majorBidi" w:cstheme="majorBidi"/>
          <w:sz w:val="28"/>
          <w:szCs w:val="28"/>
          <w:lang w:val="en-US"/>
        </w:rPr>
        <w:t xml:space="preserve"> the normal </w:t>
      </w:r>
      <w:r w:rsidR="00B66BB9">
        <w:rPr>
          <w:rFonts w:asciiTheme="majorBidi" w:hAnsiTheme="majorBidi" w:cstheme="majorBidi"/>
          <w:sz w:val="28"/>
          <w:szCs w:val="28"/>
          <w:lang w:val="en-US"/>
        </w:rPr>
        <w:t>sensitivity</w:t>
      </w:r>
      <w:r w:rsidR="00B66BB9" w:rsidRPr="00F86AC4">
        <w:rPr>
          <w:rFonts w:asciiTheme="majorBidi" w:hAnsiTheme="majorBidi" w:cstheme="majorBidi"/>
          <w:sz w:val="28"/>
          <w:szCs w:val="28"/>
          <w:lang w:val="en-US"/>
        </w:rPr>
        <w:t xml:space="preserve"> </w:t>
      </w:r>
      <w:r w:rsidR="00CC13DE" w:rsidRPr="00F86AC4">
        <w:rPr>
          <w:rFonts w:asciiTheme="majorBidi" w:hAnsiTheme="majorBidi" w:cstheme="majorBidi"/>
          <w:sz w:val="28"/>
          <w:szCs w:val="28"/>
          <w:lang w:val="en-US"/>
        </w:rPr>
        <w:t>threshold) and changes in the functioning of links along the brain-gut</w:t>
      </w:r>
      <w:r w:rsidR="00CC13DE" w:rsidRPr="00900AA0">
        <w:rPr>
          <w:rFonts w:asciiTheme="majorBidi" w:hAnsiTheme="majorBidi" w:cstheme="majorBidi"/>
          <w:sz w:val="28"/>
          <w:szCs w:val="28"/>
          <w:lang w:val="en-US"/>
        </w:rPr>
        <w:t xml:space="preserve"> </w:t>
      </w:r>
      <w:r w:rsidR="00CC13DE" w:rsidRPr="00F86AC4">
        <w:rPr>
          <w:rFonts w:asciiTheme="majorBidi" w:hAnsiTheme="majorBidi" w:cstheme="majorBidi"/>
          <w:sz w:val="28"/>
          <w:szCs w:val="28"/>
          <w:lang w:val="en-US"/>
        </w:rPr>
        <w:t xml:space="preserve">axis </w:t>
      </w:r>
      <w:r w:rsidR="00CC13DE">
        <w:rPr>
          <w:rFonts w:asciiTheme="majorBidi" w:hAnsiTheme="majorBidi" w:cstheme="majorBidi"/>
          <w:sz w:val="28"/>
          <w:szCs w:val="28"/>
          <w:lang w:val="en-US"/>
        </w:rPr>
        <w:t>are</w:t>
      </w:r>
      <w:r w:rsidR="00CC13DE" w:rsidRPr="00F86AC4">
        <w:rPr>
          <w:rFonts w:asciiTheme="majorBidi" w:hAnsiTheme="majorBidi" w:cstheme="majorBidi"/>
          <w:sz w:val="28"/>
          <w:szCs w:val="28"/>
          <w:lang w:val="en-US"/>
        </w:rPr>
        <w:t xml:space="preserve"> </w:t>
      </w:r>
      <w:r w:rsidR="00CC13DE">
        <w:rPr>
          <w:rFonts w:asciiTheme="majorBidi" w:hAnsiTheme="majorBidi" w:cstheme="majorBidi"/>
          <w:sz w:val="28"/>
          <w:szCs w:val="28"/>
          <w:lang w:val="en-US"/>
        </w:rPr>
        <w:lastRenderedPageBreak/>
        <w:t>crucial</w:t>
      </w:r>
      <w:r w:rsidR="00CC13DE" w:rsidRPr="00F86AC4">
        <w:rPr>
          <w:rFonts w:asciiTheme="majorBidi" w:hAnsiTheme="majorBidi" w:cstheme="majorBidi"/>
          <w:sz w:val="28"/>
          <w:szCs w:val="28"/>
          <w:lang w:val="en-US"/>
        </w:rPr>
        <w:t>.</w:t>
      </w:r>
      <w:r w:rsidR="002E3595">
        <w:rPr>
          <w:rFonts w:asciiTheme="majorBidi" w:hAnsiTheme="majorBidi" w:cstheme="majorBidi"/>
          <w:sz w:val="28"/>
          <w:szCs w:val="28"/>
          <w:lang w:val="en-US"/>
        </w:rPr>
        <w:t xml:space="preserve"> </w:t>
      </w:r>
      <w:r w:rsidR="002E3595" w:rsidRPr="00F86AC4">
        <w:rPr>
          <w:rFonts w:asciiTheme="majorBidi" w:hAnsiTheme="majorBidi" w:cstheme="majorBidi"/>
          <w:sz w:val="28"/>
          <w:szCs w:val="28"/>
          <w:lang w:val="en-US"/>
        </w:rPr>
        <w:t xml:space="preserve">In </w:t>
      </w:r>
      <w:r w:rsidR="002E3595">
        <w:rPr>
          <w:rFonts w:asciiTheme="majorBidi" w:hAnsiTheme="majorBidi" w:cstheme="majorBidi"/>
          <w:sz w:val="28"/>
          <w:szCs w:val="28"/>
          <w:lang w:val="en-US"/>
        </w:rPr>
        <w:t xml:space="preserve">the </w:t>
      </w:r>
      <w:r w:rsidR="002E3595" w:rsidRPr="00F86AC4">
        <w:rPr>
          <w:rFonts w:asciiTheme="majorBidi" w:hAnsiTheme="majorBidi" w:cstheme="majorBidi"/>
          <w:sz w:val="28"/>
          <w:szCs w:val="28"/>
          <w:lang w:val="en-US"/>
        </w:rPr>
        <w:t>recent years, it has been found that IBS pathogenesis is more complicated.</w:t>
      </w:r>
      <w:r w:rsidR="00F143D4">
        <w:rPr>
          <w:rFonts w:asciiTheme="majorBidi" w:hAnsiTheme="majorBidi" w:cstheme="majorBidi"/>
          <w:sz w:val="28"/>
          <w:szCs w:val="28"/>
          <w:lang w:val="en-US"/>
        </w:rPr>
        <w:t xml:space="preserve"> </w:t>
      </w:r>
      <w:r w:rsidR="00F143D4" w:rsidRPr="00F86AC4">
        <w:rPr>
          <w:rFonts w:asciiTheme="majorBidi" w:hAnsiTheme="majorBidi" w:cstheme="majorBidi"/>
          <w:sz w:val="28"/>
          <w:szCs w:val="28"/>
          <w:lang w:val="en-US"/>
        </w:rPr>
        <w:t>Such</w:t>
      </w:r>
      <w:r w:rsidR="00F143D4">
        <w:rPr>
          <w:rFonts w:asciiTheme="majorBidi" w:hAnsiTheme="majorBidi" w:cstheme="majorBidi"/>
          <w:sz w:val="28"/>
          <w:szCs w:val="28"/>
          <w:lang w:val="en-US"/>
        </w:rPr>
        <w:t xml:space="preserve"> f</w:t>
      </w:r>
      <w:r w:rsidR="00C01AC6">
        <w:rPr>
          <w:rFonts w:asciiTheme="majorBidi" w:hAnsiTheme="majorBidi" w:cstheme="majorBidi"/>
          <w:sz w:val="28"/>
          <w:szCs w:val="28"/>
          <w:lang w:val="en-US"/>
        </w:rPr>
        <w:t>actors as inflammation [4</w:t>
      </w:r>
      <w:r w:rsidR="00F143D4" w:rsidRPr="00F86AC4">
        <w:rPr>
          <w:rFonts w:asciiTheme="majorBidi" w:hAnsiTheme="majorBidi" w:cstheme="majorBidi"/>
          <w:sz w:val="28"/>
          <w:szCs w:val="28"/>
          <w:lang w:val="en-US"/>
        </w:rPr>
        <w:t>] (including dev</w:t>
      </w:r>
      <w:r w:rsidR="00F143D4">
        <w:rPr>
          <w:rFonts w:asciiTheme="majorBidi" w:hAnsiTheme="majorBidi" w:cstheme="majorBidi"/>
          <w:sz w:val="28"/>
          <w:szCs w:val="28"/>
          <w:lang w:val="en-US"/>
        </w:rPr>
        <w:t>elopment and maintenance of mild</w:t>
      </w:r>
      <w:r w:rsidR="00F143D4" w:rsidRPr="00F86AC4">
        <w:rPr>
          <w:rFonts w:asciiTheme="majorBidi" w:hAnsiTheme="majorBidi" w:cstheme="majorBidi"/>
          <w:sz w:val="28"/>
          <w:szCs w:val="28"/>
          <w:lang w:val="en-US"/>
        </w:rPr>
        <w:t xml:space="preserve"> inflammation in the intestinal wall, for example in patients with IBS postinfe</w:t>
      </w:r>
      <w:r w:rsidR="00C01AC6">
        <w:rPr>
          <w:rFonts w:asciiTheme="majorBidi" w:hAnsiTheme="majorBidi" w:cstheme="majorBidi"/>
          <w:sz w:val="28"/>
          <w:szCs w:val="28"/>
          <w:lang w:val="en-US"/>
        </w:rPr>
        <w:t>ction [5]), immunological [6</w:t>
      </w:r>
      <w:r w:rsidR="00F143D4">
        <w:rPr>
          <w:rFonts w:asciiTheme="majorBidi" w:hAnsiTheme="majorBidi" w:cstheme="majorBidi"/>
          <w:sz w:val="28"/>
          <w:szCs w:val="28"/>
          <w:lang w:val="en-US"/>
        </w:rPr>
        <w:t>] and</w:t>
      </w:r>
      <w:r w:rsidR="00F562F7">
        <w:rPr>
          <w:rFonts w:asciiTheme="majorBidi" w:hAnsiTheme="majorBidi" w:cstheme="majorBidi"/>
          <w:sz w:val="28"/>
          <w:szCs w:val="28"/>
          <w:lang w:val="en-US"/>
        </w:rPr>
        <w:t xml:space="preserve"> dietary factors [7</w:t>
      </w:r>
      <w:r w:rsidR="00F143D4" w:rsidRPr="00F86AC4">
        <w:rPr>
          <w:rFonts w:asciiTheme="majorBidi" w:hAnsiTheme="majorBidi" w:cstheme="majorBidi"/>
          <w:sz w:val="28"/>
          <w:szCs w:val="28"/>
          <w:lang w:val="en-US"/>
        </w:rPr>
        <w:t xml:space="preserve">], colon microbiota disorders </w:t>
      </w:r>
      <w:r w:rsidR="00F562F7">
        <w:rPr>
          <w:rFonts w:asciiTheme="majorBidi" w:hAnsiTheme="majorBidi" w:cstheme="majorBidi"/>
          <w:sz w:val="28"/>
          <w:szCs w:val="28"/>
          <w:lang w:val="en-US"/>
        </w:rPr>
        <w:t>[8</w:t>
      </w:r>
      <w:r w:rsidR="00F143D4">
        <w:rPr>
          <w:rFonts w:asciiTheme="majorBidi" w:hAnsiTheme="majorBidi" w:cstheme="majorBidi"/>
          <w:sz w:val="28"/>
          <w:szCs w:val="28"/>
          <w:lang w:val="en-US"/>
        </w:rPr>
        <w:t xml:space="preserve">] as well as </w:t>
      </w:r>
      <w:r w:rsidR="00F143D4" w:rsidRPr="00F86AC4">
        <w:rPr>
          <w:rFonts w:asciiTheme="majorBidi" w:hAnsiTheme="majorBidi" w:cstheme="majorBidi"/>
          <w:sz w:val="28"/>
          <w:szCs w:val="28"/>
          <w:lang w:val="en-US"/>
        </w:rPr>
        <w:t>change</w:t>
      </w:r>
      <w:r w:rsidR="00F143D4">
        <w:rPr>
          <w:rFonts w:asciiTheme="majorBidi" w:hAnsiTheme="majorBidi" w:cstheme="majorBidi"/>
          <w:sz w:val="28"/>
          <w:szCs w:val="28"/>
          <w:lang w:val="en-US"/>
        </w:rPr>
        <w:t>s in</w:t>
      </w:r>
      <w:r w:rsidR="00F143D4" w:rsidRPr="00F86AC4">
        <w:rPr>
          <w:rFonts w:asciiTheme="majorBidi" w:hAnsiTheme="majorBidi" w:cstheme="majorBidi"/>
          <w:sz w:val="28"/>
          <w:szCs w:val="28"/>
          <w:lang w:val="en-US"/>
        </w:rPr>
        <w:t xml:space="preserve"> enteroendocrine system and </w:t>
      </w:r>
      <w:r w:rsidR="00F143D4">
        <w:rPr>
          <w:rFonts w:asciiTheme="majorBidi" w:hAnsiTheme="majorBidi" w:cstheme="majorBidi"/>
          <w:sz w:val="28"/>
          <w:szCs w:val="28"/>
          <w:lang w:val="en-US"/>
        </w:rPr>
        <w:t>its cells</w:t>
      </w:r>
      <w:r w:rsidR="00F562F7">
        <w:rPr>
          <w:rFonts w:asciiTheme="majorBidi" w:hAnsiTheme="majorBidi" w:cstheme="majorBidi"/>
          <w:sz w:val="28"/>
          <w:szCs w:val="28"/>
          <w:lang w:val="en-US"/>
        </w:rPr>
        <w:t xml:space="preserve"> [9</w:t>
      </w:r>
      <w:r w:rsidR="00F143D4" w:rsidRPr="00F86AC4">
        <w:rPr>
          <w:rFonts w:asciiTheme="majorBidi" w:hAnsiTheme="majorBidi" w:cstheme="majorBidi"/>
          <w:sz w:val="28"/>
          <w:szCs w:val="28"/>
          <w:lang w:val="en-US"/>
        </w:rPr>
        <w:t xml:space="preserve">] </w:t>
      </w:r>
      <w:r w:rsidR="00F143D4">
        <w:rPr>
          <w:rFonts w:asciiTheme="majorBidi" w:hAnsiTheme="majorBidi" w:cstheme="majorBidi"/>
          <w:sz w:val="28"/>
          <w:szCs w:val="28"/>
          <w:lang w:val="en-US"/>
        </w:rPr>
        <w:t>play an important</w:t>
      </w:r>
      <w:r w:rsidR="00F143D4" w:rsidRPr="00F86AC4">
        <w:rPr>
          <w:rFonts w:asciiTheme="majorBidi" w:hAnsiTheme="majorBidi" w:cstheme="majorBidi"/>
          <w:sz w:val="28"/>
          <w:szCs w:val="28"/>
          <w:lang w:val="en-US"/>
        </w:rPr>
        <w:t xml:space="preserve"> role in </w:t>
      </w:r>
      <w:r w:rsidR="00F562F7">
        <w:rPr>
          <w:rFonts w:asciiTheme="majorBidi" w:hAnsiTheme="majorBidi" w:cstheme="majorBidi"/>
          <w:sz w:val="28"/>
          <w:szCs w:val="28"/>
          <w:lang w:val="en-US"/>
        </w:rPr>
        <w:t>the disease progression [10</w:t>
      </w:r>
      <w:r w:rsidR="00F143D4">
        <w:rPr>
          <w:rFonts w:asciiTheme="majorBidi" w:hAnsiTheme="majorBidi" w:cstheme="majorBidi"/>
          <w:sz w:val="28"/>
          <w:szCs w:val="28"/>
          <w:lang w:val="en-US"/>
        </w:rPr>
        <w:t>].</w:t>
      </w:r>
    </w:p>
    <w:p w:rsidR="00B772B4" w:rsidRDefault="00DD6E35" w:rsidP="009A3685">
      <w:pPr>
        <w:rPr>
          <w:rFonts w:asciiTheme="majorBidi" w:hAnsiTheme="majorBidi" w:cstheme="majorBidi"/>
          <w:sz w:val="28"/>
          <w:szCs w:val="28"/>
          <w:lang w:val="en-US"/>
        </w:rPr>
      </w:pPr>
      <w:r>
        <w:rPr>
          <w:rFonts w:asciiTheme="majorBidi" w:hAnsiTheme="majorBidi" w:cstheme="majorBidi"/>
          <w:sz w:val="28"/>
          <w:szCs w:val="28"/>
          <w:lang w:val="en-US"/>
        </w:rPr>
        <w:t xml:space="preserve">To date, </w:t>
      </w:r>
      <w:r w:rsidR="00B772B4" w:rsidRPr="00826207">
        <w:rPr>
          <w:rFonts w:asciiTheme="majorBidi" w:hAnsiTheme="majorBidi" w:cstheme="majorBidi"/>
          <w:sz w:val="28"/>
          <w:szCs w:val="28"/>
          <w:lang w:val="en-US"/>
        </w:rPr>
        <w:t xml:space="preserve">IBS treatment </w:t>
      </w:r>
      <w:r w:rsidR="00B772B4">
        <w:rPr>
          <w:rFonts w:asciiTheme="majorBidi" w:hAnsiTheme="majorBidi" w:cstheme="majorBidi"/>
          <w:sz w:val="28"/>
          <w:szCs w:val="28"/>
          <w:lang w:val="en-US"/>
        </w:rPr>
        <w:t>schedules</w:t>
      </w:r>
      <w:r w:rsidR="00B772B4" w:rsidRPr="00826207">
        <w:rPr>
          <w:rFonts w:asciiTheme="majorBidi" w:hAnsiTheme="majorBidi" w:cstheme="majorBidi"/>
          <w:sz w:val="28"/>
          <w:szCs w:val="28"/>
          <w:lang w:val="en-US"/>
        </w:rPr>
        <w:t xml:space="preserve"> are not standardized</w:t>
      </w:r>
      <w:r w:rsidR="00B772B4">
        <w:rPr>
          <w:rFonts w:asciiTheme="majorBidi" w:hAnsiTheme="majorBidi" w:cstheme="majorBidi"/>
          <w:sz w:val="28"/>
          <w:szCs w:val="28"/>
          <w:lang w:val="en-US"/>
        </w:rPr>
        <w:t>,</w:t>
      </w:r>
      <w:r w:rsidR="00B772B4" w:rsidRPr="00826207">
        <w:rPr>
          <w:rFonts w:asciiTheme="majorBidi" w:hAnsiTheme="majorBidi" w:cstheme="majorBidi"/>
          <w:sz w:val="28"/>
          <w:szCs w:val="28"/>
          <w:lang w:val="en-US"/>
        </w:rPr>
        <w:t xml:space="preserve"> and there is no single treatment algorithm of various IBS forms. It is believed that this is</w:t>
      </w:r>
      <w:r w:rsidR="00B772B4">
        <w:rPr>
          <w:rFonts w:asciiTheme="majorBidi" w:hAnsiTheme="majorBidi" w:cstheme="majorBidi"/>
          <w:sz w:val="28"/>
          <w:szCs w:val="28"/>
          <w:lang w:val="en-US"/>
        </w:rPr>
        <w:t xml:space="preserve"> due to the problem of search</w:t>
      </w:r>
      <w:r w:rsidR="00B772B4" w:rsidRPr="00826207">
        <w:rPr>
          <w:rFonts w:asciiTheme="majorBidi" w:hAnsiTheme="majorBidi" w:cstheme="majorBidi"/>
          <w:sz w:val="28"/>
          <w:szCs w:val="28"/>
          <w:lang w:val="en-US"/>
        </w:rPr>
        <w:t xml:space="preserve"> and objective assessment of the drug </w:t>
      </w:r>
      <w:r w:rsidR="00B772B4">
        <w:rPr>
          <w:rFonts w:asciiTheme="majorBidi" w:hAnsiTheme="majorBidi" w:cstheme="majorBidi"/>
          <w:sz w:val="28"/>
          <w:szCs w:val="28"/>
          <w:lang w:val="en-US"/>
        </w:rPr>
        <w:t>efficiency</w:t>
      </w:r>
      <w:r w:rsidR="00B772B4" w:rsidRPr="00826207">
        <w:rPr>
          <w:rFonts w:asciiTheme="majorBidi" w:hAnsiTheme="majorBidi" w:cstheme="majorBidi"/>
          <w:sz w:val="28"/>
          <w:szCs w:val="28"/>
          <w:lang w:val="en-US"/>
        </w:rPr>
        <w:t xml:space="preserve"> and is associated with </w:t>
      </w:r>
      <w:r w:rsidR="00B772B4">
        <w:rPr>
          <w:rFonts w:asciiTheme="majorBidi" w:hAnsiTheme="majorBidi" w:cstheme="majorBidi"/>
          <w:sz w:val="28"/>
          <w:szCs w:val="28"/>
          <w:lang w:val="en-US"/>
        </w:rPr>
        <w:t>lack of</w:t>
      </w:r>
      <w:r w:rsidR="00B772B4" w:rsidRPr="00826207">
        <w:rPr>
          <w:rFonts w:asciiTheme="majorBidi" w:hAnsiTheme="majorBidi" w:cstheme="majorBidi"/>
          <w:sz w:val="28"/>
          <w:szCs w:val="28"/>
          <w:lang w:val="en-US"/>
        </w:rPr>
        <w:t xml:space="preserve"> knowledge, IBS pathophysiology complexity and a variety of clinical m</w:t>
      </w:r>
      <w:r w:rsidR="00B772B4">
        <w:rPr>
          <w:rFonts w:asciiTheme="majorBidi" w:hAnsiTheme="majorBidi" w:cstheme="majorBidi"/>
          <w:sz w:val="28"/>
          <w:szCs w:val="28"/>
          <w:lang w:val="en-US"/>
        </w:rPr>
        <w:t>anifestations.</w:t>
      </w:r>
      <w:r w:rsidR="00124A8F" w:rsidRPr="00124A8F">
        <w:rPr>
          <w:rFonts w:asciiTheme="majorBidi" w:hAnsiTheme="majorBidi" w:cstheme="majorBidi"/>
          <w:sz w:val="28"/>
          <w:szCs w:val="28"/>
          <w:lang w:val="en-US"/>
        </w:rPr>
        <w:t xml:space="preserve"> </w:t>
      </w:r>
      <w:r w:rsidR="00124A8F">
        <w:rPr>
          <w:rFonts w:asciiTheme="majorBidi" w:hAnsiTheme="majorBidi" w:cstheme="majorBidi"/>
          <w:sz w:val="28"/>
          <w:szCs w:val="28"/>
          <w:lang w:val="en-US"/>
        </w:rPr>
        <w:t xml:space="preserve">On administration of </w:t>
      </w:r>
      <w:r w:rsidR="00124A8F" w:rsidRPr="00826207">
        <w:rPr>
          <w:rFonts w:asciiTheme="majorBidi" w:hAnsiTheme="majorBidi" w:cstheme="majorBidi"/>
          <w:sz w:val="28"/>
          <w:szCs w:val="28"/>
          <w:lang w:val="en-US"/>
        </w:rPr>
        <w:t xml:space="preserve">treatment for IBS </w:t>
      </w:r>
      <w:r w:rsidR="00124A8F">
        <w:rPr>
          <w:rFonts w:asciiTheme="majorBidi" w:hAnsiTheme="majorBidi" w:cstheme="majorBidi"/>
          <w:sz w:val="28"/>
          <w:szCs w:val="28"/>
          <w:lang w:val="en-US"/>
        </w:rPr>
        <w:t xml:space="preserve">patients, </w:t>
      </w:r>
      <w:r w:rsidR="00124A8F" w:rsidRPr="00826207">
        <w:rPr>
          <w:rFonts w:asciiTheme="majorBidi" w:hAnsiTheme="majorBidi" w:cstheme="majorBidi"/>
          <w:sz w:val="28"/>
          <w:szCs w:val="28"/>
          <w:lang w:val="en-US"/>
        </w:rPr>
        <w:t xml:space="preserve">a detailed study of the history </w:t>
      </w:r>
      <w:r w:rsidR="00124A8F">
        <w:rPr>
          <w:rFonts w:asciiTheme="majorBidi" w:hAnsiTheme="majorBidi" w:cstheme="majorBidi"/>
          <w:sz w:val="28"/>
          <w:szCs w:val="28"/>
          <w:lang w:val="en-US"/>
        </w:rPr>
        <w:t>of the disease and differentiation</w:t>
      </w:r>
      <w:r w:rsidR="00124A8F" w:rsidRPr="00826207">
        <w:rPr>
          <w:rFonts w:asciiTheme="majorBidi" w:hAnsiTheme="majorBidi" w:cstheme="majorBidi"/>
          <w:sz w:val="28"/>
          <w:szCs w:val="28"/>
          <w:lang w:val="en-US"/>
        </w:rPr>
        <w:t xml:space="preserve"> </w:t>
      </w:r>
      <w:r w:rsidR="00124A8F">
        <w:rPr>
          <w:rFonts w:asciiTheme="majorBidi" w:hAnsiTheme="majorBidi" w:cstheme="majorBidi"/>
          <w:sz w:val="28"/>
          <w:szCs w:val="28"/>
          <w:lang w:val="en-US"/>
        </w:rPr>
        <w:t>of complaint</w:t>
      </w:r>
      <w:r w:rsidR="00124A8F" w:rsidRPr="00826207">
        <w:rPr>
          <w:rFonts w:asciiTheme="majorBidi" w:hAnsiTheme="majorBidi" w:cstheme="majorBidi"/>
          <w:sz w:val="28"/>
          <w:szCs w:val="28"/>
          <w:lang w:val="en-US"/>
        </w:rPr>
        <w:t xml:space="preserve"> groups (abdominal, general, psychological, etc.) </w:t>
      </w:r>
      <w:r w:rsidR="00124A8F">
        <w:rPr>
          <w:rFonts w:asciiTheme="majorBidi" w:hAnsiTheme="majorBidi" w:cstheme="majorBidi"/>
          <w:sz w:val="28"/>
          <w:szCs w:val="28"/>
          <w:lang w:val="en-US"/>
        </w:rPr>
        <w:t>is of</w:t>
      </w:r>
      <w:r w:rsidR="00124A8F" w:rsidRPr="00826207">
        <w:rPr>
          <w:rFonts w:asciiTheme="majorBidi" w:hAnsiTheme="majorBidi" w:cstheme="majorBidi"/>
          <w:sz w:val="28"/>
          <w:szCs w:val="28"/>
          <w:lang w:val="en-US"/>
        </w:rPr>
        <w:t xml:space="preserve"> </w:t>
      </w:r>
      <w:r w:rsidR="00124A8F">
        <w:rPr>
          <w:rFonts w:asciiTheme="majorBidi" w:hAnsiTheme="majorBidi" w:cstheme="majorBidi"/>
          <w:sz w:val="28"/>
          <w:szCs w:val="28"/>
          <w:lang w:val="en-US"/>
        </w:rPr>
        <w:t xml:space="preserve">great importance, which </w:t>
      </w:r>
      <w:r w:rsidR="00124A8F" w:rsidRPr="00826207">
        <w:rPr>
          <w:rFonts w:asciiTheme="majorBidi" w:hAnsiTheme="majorBidi" w:cstheme="majorBidi"/>
          <w:sz w:val="28"/>
          <w:szCs w:val="28"/>
          <w:lang w:val="en-US"/>
        </w:rPr>
        <w:t xml:space="preserve">will largely determine the tactics of therapy. </w:t>
      </w:r>
      <w:r w:rsidR="00124A8F">
        <w:rPr>
          <w:rFonts w:asciiTheme="majorBidi" w:hAnsiTheme="majorBidi" w:cstheme="majorBidi"/>
          <w:sz w:val="28"/>
          <w:szCs w:val="28"/>
          <w:lang w:val="en-US"/>
        </w:rPr>
        <w:t>N</w:t>
      </w:r>
      <w:r w:rsidR="00124A8F" w:rsidRPr="00826207">
        <w:rPr>
          <w:rFonts w:asciiTheme="majorBidi" w:hAnsiTheme="majorBidi" w:cstheme="majorBidi"/>
          <w:sz w:val="28"/>
          <w:szCs w:val="28"/>
          <w:lang w:val="en-US"/>
        </w:rPr>
        <w:t>ormalization of lifestyle and diet regime, psychotherapy</w:t>
      </w:r>
      <w:r w:rsidR="00124A8F">
        <w:rPr>
          <w:rFonts w:asciiTheme="majorBidi" w:hAnsiTheme="majorBidi" w:cstheme="majorBidi"/>
          <w:sz w:val="28"/>
          <w:szCs w:val="28"/>
          <w:lang w:val="en-US"/>
        </w:rPr>
        <w:t xml:space="preserve"> are i</w:t>
      </w:r>
      <w:r w:rsidR="00124A8F" w:rsidRPr="00826207">
        <w:rPr>
          <w:rFonts w:asciiTheme="majorBidi" w:hAnsiTheme="majorBidi" w:cstheme="majorBidi"/>
          <w:sz w:val="28"/>
          <w:szCs w:val="28"/>
          <w:lang w:val="en-US"/>
        </w:rPr>
        <w:t>mportant components in the treatment of this disease. For IBS treatment, various groups of drugs</w:t>
      </w:r>
      <w:r w:rsidR="00124A8F">
        <w:rPr>
          <w:rFonts w:asciiTheme="majorBidi" w:hAnsiTheme="majorBidi" w:cstheme="majorBidi"/>
          <w:sz w:val="28"/>
          <w:szCs w:val="28"/>
          <w:lang w:val="en-US"/>
        </w:rPr>
        <w:t xml:space="preserve"> are used, including</w:t>
      </w:r>
      <w:r w:rsidR="00124A8F" w:rsidRPr="00826207">
        <w:rPr>
          <w:rFonts w:asciiTheme="majorBidi" w:hAnsiTheme="majorBidi" w:cstheme="majorBidi"/>
          <w:sz w:val="28"/>
          <w:szCs w:val="28"/>
          <w:lang w:val="en-US"/>
        </w:rPr>
        <w:t xml:space="preserve"> antispasmodics, laxatives, anti-diarrheal drugs, pro-an</w:t>
      </w:r>
      <w:r w:rsidR="00124A8F">
        <w:rPr>
          <w:rFonts w:asciiTheme="majorBidi" w:hAnsiTheme="majorBidi" w:cstheme="majorBidi"/>
          <w:sz w:val="28"/>
          <w:szCs w:val="28"/>
          <w:lang w:val="en-US"/>
        </w:rPr>
        <w:t>d prebiotics, antidepressants.</w:t>
      </w:r>
    </w:p>
    <w:p w:rsidR="004B6FD7" w:rsidRDefault="009A3685" w:rsidP="007A21F6">
      <w:pPr>
        <w:rPr>
          <w:rFonts w:asciiTheme="majorBidi" w:hAnsiTheme="majorBidi" w:cstheme="majorBidi"/>
          <w:sz w:val="28"/>
          <w:szCs w:val="28"/>
          <w:lang w:val="en-US"/>
        </w:rPr>
      </w:pPr>
      <w:r w:rsidRPr="003953AA">
        <w:rPr>
          <w:rFonts w:asciiTheme="majorBidi" w:hAnsiTheme="majorBidi" w:cstheme="majorBidi"/>
          <w:sz w:val="28"/>
          <w:szCs w:val="28"/>
          <w:lang w:val="en-US"/>
        </w:rPr>
        <w:t>A search of new effective ways of c</w:t>
      </w:r>
      <w:r w:rsidR="003953AA">
        <w:rPr>
          <w:rFonts w:asciiTheme="majorBidi" w:hAnsiTheme="majorBidi" w:cstheme="majorBidi"/>
          <w:sz w:val="28"/>
          <w:szCs w:val="28"/>
          <w:lang w:val="en-US"/>
        </w:rPr>
        <w:t>omplex IBS therapy, in particular the use of enterosorbents, seems promising.</w:t>
      </w:r>
      <w:r w:rsidR="00A2440B">
        <w:rPr>
          <w:rFonts w:asciiTheme="majorBidi" w:hAnsiTheme="majorBidi" w:cstheme="majorBidi"/>
          <w:sz w:val="28"/>
          <w:szCs w:val="28"/>
          <w:lang w:val="en-US"/>
        </w:rPr>
        <w:t xml:space="preserve"> </w:t>
      </w:r>
      <w:r w:rsidR="000A436E">
        <w:rPr>
          <w:rFonts w:asciiTheme="majorBidi" w:hAnsiTheme="majorBidi" w:cstheme="majorBidi"/>
          <w:sz w:val="28"/>
          <w:szCs w:val="28"/>
          <w:lang w:val="en-US"/>
        </w:rPr>
        <w:t>S</w:t>
      </w:r>
      <w:r w:rsidR="002078F4">
        <w:rPr>
          <w:rFonts w:asciiTheme="majorBidi" w:hAnsiTheme="majorBidi" w:cstheme="majorBidi"/>
          <w:sz w:val="28"/>
          <w:szCs w:val="28"/>
          <w:lang w:val="en-US"/>
        </w:rPr>
        <w:t>orbents are</w:t>
      </w:r>
      <w:r w:rsidR="00A2440B" w:rsidRPr="00826207">
        <w:rPr>
          <w:rFonts w:asciiTheme="majorBidi" w:hAnsiTheme="majorBidi" w:cstheme="majorBidi"/>
          <w:sz w:val="28"/>
          <w:szCs w:val="28"/>
          <w:lang w:val="en-US"/>
        </w:rPr>
        <w:t xml:space="preserve"> substance</w:t>
      </w:r>
      <w:r w:rsidR="00A2440B">
        <w:rPr>
          <w:rFonts w:asciiTheme="majorBidi" w:hAnsiTheme="majorBidi" w:cstheme="majorBidi"/>
          <w:sz w:val="28"/>
          <w:szCs w:val="28"/>
          <w:lang w:val="en-US"/>
        </w:rPr>
        <w:t>s possessing</w:t>
      </w:r>
      <w:r w:rsidR="00A2440B" w:rsidRPr="00826207">
        <w:rPr>
          <w:rFonts w:asciiTheme="majorBidi" w:hAnsiTheme="majorBidi" w:cstheme="majorBidi"/>
          <w:sz w:val="28"/>
          <w:szCs w:val="28"/>
          <w:lang w:val="en-US"/>
        </w:rPr>
        <w:t xml:space="preserve"> high adsorption capacity,</w:t>
      </w:r>
      <w:r w:rsidR="000A436E">
        <w:rPr>
          <w:rFonts w:asciiTheme="majorBidi" w:hAnsiTheme="majorBidi" w:cstheme="majorBidi"/>
          <w:sz w:val="28"/>
          <w:szCs w:val="28"/>
          <w:lang w:val="en-US"/>
        </w:rPr>
        <w:t xml:space="preserve"> which are</w:t>
      </w:r>
      <w:r w:rsidR="00A2440B" w:rsidRPr="00826207">
        <w:rPr>
          <w:rFonts w:asciiTheme="majorBidi" w:hAnsiTheme="majorBidi" w:cstheme="majorBidi"/>
          <w:sz w:val="28"/>
          <w:szCs w:val="28"/>
          <w:lang w:val="en-US"/>
        </w:rPr>
        <w:t xml:space="preserve"> </w:t>
      </w:r>
      <w:r w:rsidR="00A2440B">
        <w:rPr>
          <w:rFonts w:asciiTheme="majorBidi" w:hAnsiTheme="majorBidi" w:cstheme="majorBidi"/>
          <w:sz w:val="28"/>
          <w:szCs w:val="28"/>
          <w:lang w:val="en-US"/>
        </w:rPr>
        <w:t>not degraded</w:t>
      </w:r>
      <w:r w:rsidR="00A2440B" w:rsidRPr="00826207">
        <w:rPr>
          <w:rFonts w:asciiTheme="majorBidi" w:hAnsiTheme="majorBidi" w:cstheme="majorBidi"/>
          <w:sz w:val="28"/>
          <w:szCs w:val="28"/>
          <w:lang w:val="en-US"/>
        </w:rPr>
        <w:t xml:space="preserve"> in the </w:t>
      </w:r>
      <w:r w:rsidR="00A2440B">
        <w:rPr>
          <w:rFonts w:asciiTheme="majorBidi" w:hAnsiTheme="majorBidi" w:cstheme="majorBidi"/>
          <w:sz w:val="28"/>
          <w:szCs w:val="28"/>
          <w:lang w:val="en-US"/>
        </w:rPr>
        <w:t>GIT</w:t>
      </w:r>
      <w:r w:rsidR="00A2440B" w:rsidRPr="00826207">
        <w:rPr>
          <w:rFonts w:asciiTheme="majorBidi" w:hAnsiTheme="majorBidi" w:cstheme="majorBidi"/>
          <w:sz w:val="28"/>
          <w:szCs w:val="28"/>
          <w:lang w:val="en-US"/>
        </w:rPr>
        <w:t xml:space="preserve"> and capable of binding exogenous and endogenous</w:t>
      </w:r>
      <w:r w:rsidR="00A2440B">
        <w:rPr>
          <w:rFonts w:asciiTheme="majorBidi" w:hAnsiTheme="majorBidi" w:cstheme="majorBidi"/>
          <w:sz w:val="28"/>
          <w:szCs w:val="28"/>
          <w:lang w:val="en-US"/>
        </w:rPr>
        <w:t xml:space="preserve"> toxic</w:t>
      </w:r>
      <w:r w:rsidR="00A2440B" w:rsidRPr="00826207">
        <w:rPr>
          <w:rFonts w:asciiTheme="majorBidi" w:hAnsiTheme="majorBidi" w:cstheme="majorBidi"/>
          <w:sz w:val="28"/>
          <w:szCs w:val="28"/>
          <w:lang w:val="en-US"/>
        </w:rPr>
        <w:t xml:space="preserve"> substances (microorganisms and their toxins, poisons, excess</w:t>
      </w:r>
      <w:r w:rsidR="00A2440B">
        <w:rPr>
          <w:rFonts w:asciiTheme="majorBidi" w:hAnsiTheme="majorBidi" w:cstheme="majorBidi"/>
          <w:sz w:val="28"/>
          <w:szCs w:val="28"/>
          <w:lang w:val="en-US"/>
        </w:rPr>
        <w:t xml:space="preserve">ive metabolites </w:t>
      </w:r>
      <w:r w:rsidR="00A2440B" w:rsidRPr="00826207">
        <w:rPr>
          <w:rFonts w:asciiTheme="majorBidi" w:hAnsiTheme="majorBidi" w:cstheme="majorBidi"/>
          <w:sz w:val="28"/>
          <w:szCs w:val="28"/>
          <w:lang w:val="en-US"/>
        </w:rPr>
        <w:t>and other</w:t>
      </w:r>
      <w:r w:rsidR="00A2440B">
        <w:rPr>
          <w:rFonts w:asciiTheme="majorBidi" w:hAnsiTheme="majorBidi" w:cstheme="majorBidi"/>
          <w:sz w:val="28"/>
          <w:szCs w:val="28"/>
          <w:lang w:val="en-US"/>
        </w:rPr>
        <w:t xml:space="preserve"> harmful substances</w:t>
      </w:r>
      <w:r w:rsidR="00A2440B" w:rsidRPr="00826207">
        <w:rPr>
          <w:rFonts w:asciiTheme="majorBidi" w:hAnsiTheme="majorBidi" w:cstheme="majorBidi"/>
          <w:sz w:val="28"/>
          <w:szCs w:val="28"/>
          <w:lang w:val="en-US"/>
        </w:rPr>
        <w:t xml:space="preserve">) by </w:t>
      </w:r>
      <w:r w:rsidR="00A2440B">
        <w:rPr>
          <w:rFonts w:asciiTheme="majorBidi" w:hAnsiTheme="majorBidi" w:cstheme="majorBidi"/>
          <w:sz w:val="28"/>
          <w:szCs w:val="28"/>
          <w:lang w:val="en-US"/>
        </w:rPr>
        <w:t>adsorption</w:t>
      </w:r>
      <w:r w:rsidR="00A2440B" w:rsidRPr="00826207">
        <w:rPr>
          <w:rFonts w:asciiTheme="majorBidi" w:hAnsiTheme="majorBidi" w:cstheme="majorBidi"/>
          <w:sz w:val="28"/>
          <w:szCs w:val="28"/>
          <w:lang w:val="en-US"/>
        </w:rPr>
        <w:t xml:space="preserve"> and absorption, ion exchange or </w:t>
      </w:r>
      <w:r w:rsidR="00A2440B">
        <w:rPr>
          <w:rFonts w:asciiTheme="majorBidi" w:hAnsiTheme="majorBidi" w:cstheme="majorBidi"/>
          <w:sz w:val="28"/>
          <w:szCs w:val="28"/>
          <w:lang w:val="en-US"/>
        </w:rPr>
        <w:t>complexation.</w:t>
      </w:r>
      <w:r w:rsidR="00D932DD" w:rsidRPr="00D932DD">
        <w:rPr>
          <w:rFonts w:asciiTheme="majorBidi" w:hAnsiTheme="majorBidi" w:cstheme="majorBidi"/>
          <w:sz w:val="28"/>
          <w:szCs w:val="28"/>
          <w:lang w:val="en-US"/>
        </w:rPr>
        <w:t xml:space="preserve"> </w:t>
      </w:r>
      <w:r w:rsidR="00D932DD">
        <w:rPr>
          <w:rFonts w:asciiTheme="majorBidi" w:hAnsiTheme="majorBidi" w:cstheme="majorBidi"/>
          <w:sz w:val="28"/>
          <w:szCs w:val="28"/>
          <w:lang w:val="en-US"/>
        </w:rPr>
        <w:t xml:space="preserve">The </w:t>
      </w:r>
      <w:r w:rsidR="00D932DD" w:rsidRPr="00826207">
        <w:rPr>
          <w:rFonts w:asciiTheme="majorBidi" w:hAnsiTheme="majorBidi" w:cstheme="majorBidi"/>
          <w:sz w:val="28"/>
          <w:szCs w:val="28"/>
          <w:lang w:val="en-US"/>
        </w:rPr>
        <w:t xml:space="preserve">story of enterosorbents goes back to antiquity: healers of </w:t>
      </w:r>
      <w:r w:rsidR="00D932DD">
        <w:rPr>
          <w:rFonts w:asciiTheme="majorBidi" w:hAnsiTheme="majorBidi" w:cstheme="majorBidi"/>
          <w:sz w:val="28"/>
          <w:szCs w:val="28"/>
          <w:lang w:val="en-US"/>
        </w:rPr>
        <w:t>the Ancient Egypt, India and</w:t>
      </w:r>
      <w:r w:rsidR="00D932DD" w:rsidRPr="00826207">
        <w:rPr>
          <w:rFonts w:asciiTheme="majorBidi" w:hAnsiTheme="majorBidi" w:cstheme="majorBidi"/>
          <w:sz w:val="28"/>
          <w:szCs w:val="28"/>
          <w:lang w:val="en-US"/>
        </w:rPr>
        <w:t xml:space="preserve"> Greece </w:t>
      </w:r>
      <w:r w:rsidR="00D932DD">
        <w:rPr>
          <w:rFonts w:asciiTheme="majorBidi" w:hAnsiTheme="majorBidi" w:cstheme="majorBidi"/>
          <w:sz w:val="28"/>
          <w:szCs w:val="28"/>
          <w:lang w:val="en-US"/>
        </w:rPr>
        <w:t xml:space="preserve">already </w:t>
      </w:r>
      <w:r w:rsidR="00D932DD" w:rsidRPr="00826207">
        <w:rPr>
          <w:rFonts w:asciiTheme="majorBidi" w:hAnsiTheme="majorBidi" w:cstheme="majorBidi"/>
          <w:sz w:val="28"/>
          <w:szCs w:val="28"/>
          <w:lang w:val="en-US"/>
        </w:rPr>
        <w:t>use</w:t>
      </w:r>
      <w:r w:rsidR="00D932DD">
        <w:rPr>
          <w:rFonts w:asciiTheme="majorBidi" w:hAnsiTheme="majorBidi" w:cstheme="majorBidi"/>
          <w:sz w:val="28"/>
          <w:szCs w:val="28"/>
          <w:lang w:val="en-US"/>
        </w:rPr>
        <w:t>d charcoal, clay, pounded tuffs and</w:t>
      </w:r>
      <w:r w:rsidR="00D932DD" w:rsidRPr="00826207">
        <w:rPr>
          <w:rFonts w:asciiTheme="majorBidi" w:hAnsiTheme="majorBidi" w:cstheme="majorBidi"/>
          <w:sz w:val="28"/>
          <w:szCs w:val="28"/>
          <w:lang w:val="en-US"/>
        </w:rPr>
        <w:t xml:space="preserve"> </w:t>
      </w:r>
      <w:r w:rsidR="00D932DD">
        <w:rPr>
          <w:rFonts w:asciiTheme="majorBidi" w:hAnsiTheme="majorBidi" w:cstheme="majorBidi"/>
          <w:sz w:val="28"/>
          <w:szCs w:val="28"/>
          <w:lang w:val="en-US"/>
        </w:rPr>
        <w:t>dead-</w:t>
      </w:r>
      <w:r w:rsidR="00D932DD" w:rsidRPr="00826207">
        <w:rPr>
          <w:rFonts w:asciiTheme="majorBidi" w:hAnsiTheme="majorBidi" w:cstheme="majorBidi"/>
          <w:sz w:val="28"/>
          <w:szCs w:val="28"/>
          <w:lang w:val="en-US"/>
        </w:rPr>
        <w:t xml:space="preserve">burnt horn for the treatment of poisoning, dysentery, jaundice and other diseases. </w:t>
      </w:r>
      <w:r w:rsidR="00D932DD">
        <w:rPr>
          <w:rFonts w:asciiTheme="majorBidi" w:hAnsiTheme="majorBidi" w:cstheme="majorBidi"/>
          <w:sz w:val="28"/>
          <w:szCs w:val="28"/>
          <w:lang w:val="en-US"/>
        </w:rPr>
        <w:t xml:space="preserve">With this </w:t>
      </w:r>
      <w:r w:rsidR="00D932DD">
        <w:rPr>
          <w:rFonts w:asciiTheme="majorBidi" w:hAnsiTheme="majorBidi" w:cstheme="majorBidi"/>
          <w:sz w:val="28"/>
          <w:szCs w:val="28"/>
          <w:lang w:val="en-US"/>
        </w:rPr>
        <w:lastRenderedPageBreak/>
        <w:t>purpose, b</w:t>
      </w:r>
      <w:r w:rsidR="00D932DD" w:rsidRPr="00826207">
        <w:rPr>
          <w:rFonts w:asciiTheme="majorBidi" w:hAnsiTheme="majorBidi" w:cstheme="majorBidi"/>
          <w:sz w:val="28"/>
          <w:szCs w:val="28"/>
          <w:lang w:val="en-US"/>
        </w:rPr>
        <w:t xml:space="preserve">irch or bone charcoal was used </w:t>
      </w:r>
      <w:r w:rsidR="00D932DD">
        <w:rPr>
          <w:rFonts w:asciiTheme="majorBidi" w:hAnsiTheme="majorBidi" w:cstheme="majorBidi"/>
          <w:sz w:val="28"/>
          <w:szCs w:val="28"/>
          <w:lang w:val="en-US"/>
        </w:rPr>
        <w:t>by the</w:t>
      </w:r>
      <w:r w:rsidR="00D932DD" w:rsidRPr="00826207">
        <w:rPr>
          <w:rFonts w:asciiTheme="majorBidi" w:hAnsiTheme="majorBidi" w:cstheme="majorBidi"/>
          <w:sz w:val="28"/>
          <w:szCs w:val="28"/>
          <w:lang w:val="en-US"/>
        </w:rPr>
        <w:t xml:space="preserve"> healers of ancient Russia</w:t>
      </w:r>
      <w:r w:rsidR="00995A14" w:rsidRPr="00995A14">
        <w:rPr>
          <w:rFonts w:asciiTheme="majorBidi" w:hAnsiTheme="majorBidi" w:cstheme="majorBidi"/>
          <w:sz w:val="28"/>
          <w:szCs w:val="28"/>
          <w:lang w:val="en-US"/>
        </w:rPr>
        <w:t xml:space="preserve"> </w:t>
      </w:r>
      <w:r w:rsidR="00995A14">
        <w:rPr>
          <w:rFonts w:asciiTheme="majorBidi" w:hAnsiTheme="majorBidi" w:cstheme="majorBidi"/>
          <w:sz w:val="28"/>
          <w:szCs w:val="28"/>
          <w:lang w:val="en-US"/>
        </w:rPr>
        <w:t>[11]</w:t>
      </w:r>
      <w:r w:rsidR="004B6FD7">
        <w:rPr>
          <w:rFonts w:asciiTheme="majorBidi" w:hAnsiTheme="majorBidi" w:cstheme="majorBidi"/>
          <w:sz w:val="28"/>
          <w:szCs w:val="28"/>
          <w:lang w:val="en-US"/>
        </w:rPr>
        <w:t>.</w:t>
      </w:r>
    </w:p>
    <w:p w:rsidR="003D7DBE" w:rsidRDefault="007A21F6" w:rsidP="003D7DBE">
      <w:pPr>
        <w:rPr>
          <w:rFonts w:asciiTheme="majorBidi" w:hAnsiTheme="majorBidi" w:cstheme="majorBidi"/>
          <w:sz w:val="28"/>
          <w:szCs w:val="28"/>
          <w:lang w:val="en-US"/>
        </w:rPr>
      </w:pPr>
      <w:r w:rsidRPr="00826207">
        <w:rPr>
          <w:rFonts w:asciiTheme="majorBidi" w:hAnsiTheme="majorBidi" w:cstheme="majorBidi"/>
          <w:sz w:val="28"/>
          <w:szCs w:val="28"/>
          <w:lang w:val="en-US"/>
        </w:rPr>
        <w:t>The term "enterosorption" was proposed by Nikolaev V</w:t>
      </w:r>
      <w:r>
        <w:rPr>
          <w:rFonts w:asciiTheme="majorBidi" w:hAnsiTheme="majorBidi" w:cstheme="majorBidi"/>
          <w:sz w:val="28"/>
          <w:szCs w:val="28"/>
          <w:lang w:val="en-US"/>
        </w:rPr>
        <w:t>.</w:t>
      </w:r>
      <w:r w:rsidRPr="00826207">
        <w:rPr>
          <w:rFonts w:asciiTheme="majorBidi" w:hAnsiTheme="majorBidi" w:cstheme="majorBidi"/>
          <w:sz w:val="28"/>
          <w:szCs w:val="28"/>
          <w:lang w:val="en-US"/>
        </w:rPr>
        <w:t>G</w:t>
      </w:r>
      <w:r>
        <w:rPr>
          <w:rFonts w:asciiTheme="majorBidi" w:hAnsiTheme="majorBidi" w:cstheme="majorBidi"/>
          <w:sz w:val="28"/>
          <w:szCs w:val="28"/>
          <w:lang w:val="en-US"/>
        </w:rPr>
        <w:t>.</w:t>
      </w:r>
      <w:r w:rsidRPr="00826207">
        <w:rPr>
          <w:rFonts w:asciiTheme="majorBidi" w:hAnsiTheme="majorBidi" w:cstheme="majorBidi"/>
          <w:sz w:val="28"/>
          <w:szCs w:val="28"/>
          <w:lang w:val="en-US"/>
        </w:rPr>
        <w:t xml:space="preserve"> et al. in 1983 [</w:t>
      </w:r>
      <w:r w:rsidR="004B6FD7">
        <w:rPr>
          <w:rFonts w:asciiTheme="majorBidi" w:hAnsiTheme="majorBidi" w:cstheme="majorBidi"/>
          <w:sz w:val="28"/>
          <w:szCs w:val="28"/>
          <w:lang w:val="en-US"/>
        </w:rPr>
        <w:t>12, 13</w:t>
      </w:r>
      <w:r w:rsidRPr="00826207">
        <w:rPr>
          <w:rFonts w:asciiTheme="majorBidi" w:hAnsiTheme="majorBidi" w:cstheme="majorBidi"/>
          <w:sz w:val="28"/>
          <w:szCs w:val="28"/>
          <w:lang w:val="en-US"/>
        </w:rPr>
        <w:t>] to describe a new method of sorption therapy consisting of daily oral administration of large (20-50 g) dose</w:t>
      </w:r>
      <w:r>
        <w:rPr>
          <w:rFonts w:asciiTheme="majorBidi" w:hAnsiTheme="majorBidi" w:cstheme="majorBidi"/>
          <w:sz w:val="28"/>
          <w:szCs w:val="28"/>
          <w:lang w:val="en-US"/>
        </w:rPr>
        <w:t>s of</w:t>
      </w:r>
      <w:r w:rsidRPr="00826207">
        <w:rPr>
          <w:rFonts w:asciiTheme="majorBidi" w:hAnsiTheme="majorBidi" w:cstheme="majorBidi"/>
          <w:sz w:val="28"/>
          <w:szCs w:val="28"/>
          <w:lang w:val="en-US"/>
        </w:rPr>
        <w:t xml:space="preserve"> high</w:t>
      </w:r>
      <w:r>
        <w:rPr>
          <w:rFonts w:asciiTheme="majorBidi" w:hAnsiTheme="majorBidi" w:cstheme="majorBidi"/>
          <w:sz w:val="28"/>
          <w:szCs w:val="28"/>
          <w:lang w:val="en-US"/>
        </w:rPr>
        <w:t>ly active</w:t>
      </w:r>
      <w:r w:rsidRPr="00826207">
        <w:rPr>
          <w:rFonts w:asciiTheme="majorBidi" w:hAnsiTheme="majorBidi" w:cstheme="majorBidi"/>
          <w:sz w:val="28"/>
          <w:szCs w:val="28"/>
          <w:lang w:val="en-US"/>
        </w:rPr>
        <w:t xml:space="preserve"> synthetic coal spherical granulation obtained by pyrolytic </w:t>
      </w:r>
      <w:r>
        <w:rPr>
          <w:rFonts w:asciiTheme="majorBidi" w:hAnsiTheme="majorBidi" w:cstheme="majorBidi"/>
          <w:sz w:val="28"/>
          <w:szCs w:val="28"/>
          <w:lang w:val="en-US"/>
        </w:rPr>
        <w:t>processing of various polymer resins.</w:t>
      </w:r>
      <w:r w:rsidR="003D7DBE">
        <w:rPr>
          <w:rFonts w:asciiTheme="majorBidi" w:hAnsiTheme="majorBidi" w:cstheme="majorBidi"/>
          <w:sz w:val="28"/>
          <w:szCs w:val="28"/>
          <w:lang w:val="en-US"/>
        </w:rPr>
        <w:t xml:space="preserve"> </w:t>
      </w:r>
      <w:r w:rsidR="003D7DBE" w:rsidRPr="00826207">
        <w:rPr>
          <w:rFonts w:asciiTheme="majorBidi" w:hAnsiTheme="majorBidi" w:cstheme="majorBidi"/>
          <w:sz w:val="28"/>
          <w:szCs w:val="28"/>
          <w:lang w:val="en-US"/>
        </w:rPr>
        <w:t xml:space="preserve">It is </w:t>
      </w:r>
      <w:r w:rsidR="003D7DBE">
        <w:rPr>
          <w:rFonts w:asciiTheme="majorBidi" w:hAnsiTheme="majorBidi" w:cstheme="majorBidi"/>
          <w:sz w:val="28"/>
          <w:szCs w:val="28"/>
          <w:lang w:val="en-US"/>
        </w:rPr>
        <w:t>also</w:t>
      </w:r>
      <w:r w:rsidR="003D7DBE" w:rsidRPr="00826207">
        <w:rPr>
          <w:rFonts w:asciiTheme="majorBidi" w:hAnsiTheme="majorBidi" w:cstheme="majorBidi"/>
          <w:sz w:val="28"/>
          <w:szCs w:val="28"/>
          <w:lang w:val="en-US"/>
        </w:rPr>
        <w:t xml:space="preserve"> important that the authors have identified classical property</w:t>
      </w:r>
      <w:r w:rsidR="003D7DBE">
        <w:rPr>
          <w:rFonts w:asciiTheme="majorBidi" w:hAnsiTheme="majorBidi" w:cstheme="majorBidi"/>
          <w:sz w:val="28"/>
          <w:szCs w:val="28"/>
          <w:lang w:val="en-US"/>
        </w:rPr>
        <w:t xml:space="preserve"> of</w:t>
      </w:r>
      <w:r w:rsidR="003D7DBE" w:rsidRPr="00826207">
        <w:rPr>
          <w:rFonts w:asciiTheme="majorBidi" w:hAnsiTheme="majorBidi" w:cstheme="majorBidi"/>
          <w:sz w:val="28"/>
          <w:szCs w:val="28"/>
          <w:lang w:val="en-US"/>
        </w:rPr>
        <w:t xml:space="preserve"> enterosorbents</w:t>
      </w:r>
      <w:r w:rsidR="003D7DBE">
        <w:rPr>
          <w:rFonts w:asciiTheme="majorBidi" w:hAnsiTheme="majorBidi" w:cstheme="majorBidi"/>
          <w:sz w:val="28"/>
          <w:szCs w:val="28"/>
          <w:lang w:val="en-US"/>
        </w:rPr>
        <w:t xml:space="preserve"> –</w:t>
      </w:r>
      <w:r w:rsidR="003D7DBE" w:rsidRPr="00826207">
        <w:rPr>
          <w:rFonts w:asciiTheme="majorBidi" w:hAnsiTheme="majorBidi" w:cstheme="majorBidi"/>
          <w:sz w:val="28"/>
          <w:szCs w:val="28"/>
          <w:lang w:val="en-US"/>
        </w:rPr>
        <w:t xml:space="preserve"> </w:t>
      </w:r>
      <w:r w:rsidR="003D7DBE">
        <w:rPr>
          <w:rFonts w:asciiTheme="majorBidi" w:hAnsiTheme="majorBidi" w:cstheme="majorBidi"/>
          <w:sz w:val="28"/>
          <w:szCs w:val="28"/>
          <w:lang w:val="en-US"/>
        </w:rPr>
        <w:t>non-invasion of</w:t>
      </w:r>
      <w:r w:rsidR="003D7DBE" w:rsidRPr="00826207">
        <w:rPr>
          <w:rFonts w:asciiTheme="majorBidi" w:hAnsiTheme="majorBidi" w:cstheme="majorBidi"/>
          <w:sz w:val="28"/>
          <w:szCs w:val="28"/>
          <w:lang w:val="en-US"/>
        </w:rPr>
        <w:t xml:space="preserve"> the gastrointestinal mucosa, i</w:t>
      </w:r>
      <w:r w:rsidR="003D7DBE">
        <w:rPr>
          <w:rFonts w:asciiTheme="majorBidi" w:hAnsiTheme="majorBidi" w:cstheme="majorBidi"/>
          <w:sz w:val="28"/>
          <w:szCs w:val="28"/>
          <w:lang w:val="en-US"/>
        </w:rPr>
        <w:t>.</w:t>
      </w:r>
      <w:r w:rsidR="003D7DBE" w:rsidRPr="00826207">
        <w:rPr>
          <w:rFonts w:asciiTheme="majorBidi" w:hAnsiTheme="majorBidi" w:cstheme="majorBidi"/>
          <w:sz w:val="28"/>
          <w:szCs w:val="28"/>
          <w:lang w:val="en-US"/>
        </w:rPr>
        <w:t>e</w:t>
      </w:r>
      <w:r w:rsidR="003D7DBE">
        <w:rPr>
          <w:rFonts w:asciiTheme="majorBidi" w:hAnsiTheme="majorBidi" w:cstheme="majorBidi"/>
          <w:sz w:val="28"/>
          <w:szCs w:val="28"/>
          <w:lang w:val="en-US"/>
        </w:rPr>
        <w:t>.</w:t>
      </w:r>
      <w:r w:rsidR="003D7DBE" w:rsidRPr="00826207">
        <w:rPr>
          <w:rFonts w:asciiTheme="majorBidi" w:hAnsiTheme="majorBidi" w:cstheme="majorBidi"/>
          <w:sz w:val="28"/>
          <w:szCs w:val="28"/>
          <w:lang w:val="en-US"/>
        </w:rPr>
        <w:t xml:space="preserve"> </w:t>
      </w:r>
      <w:r w:rsidR="003D7DBE">
        <w:rPr>
          <w:rFonts w:asciiTheme="majorBidi" w:hAnsiTheme="majorBidi" w:cstheme="majorBidi"/>
          <w:sz w:val="28"/>
          <w:szCs w:val="28"/>
          <w:lang w:val="en-US"/>
        </w:rPr>
        <w:t>absence of</w:t>
      </w:r>
      <w:r w:rsidR="006F7D29">
        <w:rPr>
          <w:rFonts w:asciiTheme="majorBidi" w:hAnsiTheme="majorBidi" w:cstheme="majorBidi"/>
          <w:sz w:val="28"/>
          <w:szCs w:val="28"/>
          <w:lang w:val="en-US"/>
        </w:rPr>
        <w:t xml:space="preserve"> systemic pharmacokinetics [13</w:t>
      </w:r>
      <w:r w:rsidR="003D7DBE" w:rsidRPr="00826207">
        <w:rPr>
          <w:rFonts w:asciiTheme="majorBidi" w:hAnsiTheme="majorBidi" w:cstheme="majorBidi"/>
          <w:sz w:val="28"/>
          <w:szCs w:val="28"/>
          <w:lang w:val="en-US"/>
        </w:rPr>
        <w:t>].</w:t>
      </w:r>
    </w:p>
    <w:p w:rsidR="007A21F6" w:rsidRPr="00826207" w:rsidRDefault="006F7D29" w:rsidP="00302DED">
      <w:pPr>
        <w:rPr>
          <w:rFonts w:asciiTheme="majorBidi" w:hAnsiTheme="majorBidi" w:cstheme="majorBidi"/>
          <w:sz w:val="28"/>
          <w:szCs w:val="28"/>
          <w:lang w:val="en-US"/>
        </w:rPr>
      </w:pPr>
      <w:r w:rsidRPr="00960585">
        <w:rPr>
          <w:rFonts w:asciiTheme="majorBidi" w:hAnsiTheme="majorBidi" w:cstheme="majorBidi"/>
          <w:sz w:val="28"/>
          <w:szCs w:val="28"/>
          <w:lang w:val="en-US"/>
        </w:rPr>
        <w:t xml:space="preserve">Among the considered </w:t>
      </w:r>
      <w:r>
        <w:rPr>
          <w:rFonts w:asciiTheme="majorBidi" w:hAnsiTheme="majorBidi" w:cstheme="majorBidi"/>
          <w:sz w:val="28"/>
          <w:szCs w:val="28"/>
          <w:lang w:val="en-US"/>
        </w:rPr>
        <w:t>drug</w:t>
      </w:r>
      <w:r w:rsidRPr="00960585">
        <w:rPr>
          <w:rFonts w:asciiTheme="majorBidi" w:hAnsiTheme="majorBidi" w:cstheme="majorBidi"/>
          <w:sz w:val="28"/>
          <w:szCs w:val="28"/>
          <w:lang w:val="en-US"/>
        </w:rPr>
        <w:t xml:space="preserve"> class, </w:t>
      </w:r>
      <w:r>
        <w:rPr>
          <w:rFonts w:asciiTheme="majorBidi" w:hAnsiTheme="majorBidi" w:cstheme="majorBidi"/>
          <w:sz w:val="28"/>
          <w:szCs w:val="28"/>
          <w:lang w:val="en-US"/>
        </w:rPr>
        <w:t>siliceous</w:t>
      </w:r>
      <w:r w:rsidRPr="00960585">
        <w:rPr>
          <w:rFonts w:asciiTheme="majorBidi" w:hAnsiTheme="majorBidi" w:cstheme="majorBidi"/>
          <w:sz w:val="28"/>
          <w:szCs w:val="28"/>
          <w:lang w:val="en-US"/>
        </w:rPr>
        <w:t xml:space="preserve"> </w:t>
      </w:r>
      <w:r>
        <w:rPr>
          <w:rFonts w:asciiTheme="majorBidi" w:hAnsiTheme="majorBidi" w:cstheme="majorBidi"/>
          <w:sz w:val="28"/>
          <w:szCs w:val="28"/>
          <w:lang w:val="en-US"/>
        </w:rPr>
        <w:t>sorbents are especially noteworthy</w:t>
      </w:r>
      <w:r w:rsidRPr="00960585">
        <w:rPr>
          <w:rFonts w:asciiTheme="majorBidi" w:hAnsiTheme="majorBidi" w:cstheme="majorBidi"/>
          <w:sz w:val="28"/>
          <w:szCs w:val="28"/>
          <w:lang w:val="en-US"/>
        </w:rPr>
        <w:t xml:space="preserve">, </w:t>
      </w:r>
      <w:r>
        <w:rPr>
          <w:rFonts w:asciiTheme="majorBidi" w:hAnsiTheme="majorBidi" w:cstheme="majorBidi"/>
          <w:sz w:val="28"/>
          <w:szCs w:val="28"/>
          <w:lang w:val="en-US"/>
        </w:rPr>
        <w:t>Enterosgel</w:t>
      </w:r>
      <w:r w:rsidRPr="00960585">
        <w:rPr>
          <w:rFonts w:asciiTheme="majorBidi" w:hAnsiTheme="majorBidi" w:cstheme="majorBidi"/>
          <w:sz w:val="28"/>
          <w:szCs w:val="28"/>
          <w:lang w:val="en-US"/>
        </w:rPr>
        <w:t xml:space="preserve"> </w:t>
      </w:r>
      <w:r>
        <w:rPr>
          <w:rFonts w:asciiTheme="majorBidi" w:hAnsiTheme="majorBidi" w:cstheme="majorBidi"/>
          <w:sz w:val="28"/>
          <w:szCs w:val="28"/>
          <w:lang w:val="en-US"/>
        </w:rPr>
        <w:t>being</w:t>
      </w:r>
      <w:r w:rsidRPr="00960585">
        <w:rPr>
          <w:rFonts w:asciiTheme="majorBidi" w:hAnsiTheme="majorBidi" w:cstheme="majorBidi"/>
          <w:sz w:val="28"/>
          <w:szCs w:val="28"/>
          <w:lang w:val="en-US"/>
        </w:rPr>
        <w:t xml:space="preserve"> the most </w:t>
      </w:r>
      <w:r>
        <w:rPr>
          <w:rFonts w:asciiTheme="majorBidi" w:hAnsiTheme="majorBidi" w:cstheme="majorBidi"/>
          <w:sz w:val="28"/>
          <w:szCs w:val="28"/>
          <w:lang w:val="en-US"/>
        </w:rPr>
        <w:t>widespread among them and known for its selective properties.</w:t>
      </w:r>
    </w:p>
    <w:p w:rsidR="00D932DD" w:rsidRPr="00826207" w:rsidRDefault="00D932DD" w:rsidP="002628C6">
      <w:pPr>
        <w:rPr>
          <w:rFonts w:asciiTheme="majorBidi" w:hAnsiTheme="majorBidi" w:cstheme="majorBidi"/>
          <w:sz w:val="28"/>
          <w:szCs w:val="28"/>
          <w:lang w:val="en-US"/>
        </w:rPr>
      </w:pPr>
    </w:p>
    <w:p w:rsidR="00302DED" w:rsidRPr="00302DED" w:rsidRDefault="00302DED" w:rsidP="00302DED">
      <w:pPr>
        <w:rPr>
          <w:rFonts w:asciiTheme="majorBidi" w:hAnsiTheme="majorBidi" w:cstheme="majorBidi"/>
          <w:b/>
          <w:bCs/>
          <w:sz w:val="28"/>
          <w:szCs w:val="28"/>
          <w:lang w:val="en-US"/>
        </w:rPr>
      </w:pPr>
      <w:r>
        <w:rPr>
          <w:rFonts w:asciiTheme="majorBidi" w:hAnsiTheme="majorBidi" w:cstheme="majorBidi"/>
          <w:b/>
          <w:bCs/>
          <w:sz w:val="28"/>
          <w:szCs w:val="28"/>
          <w:lang w:val="en-US"/>
        </w:rPr>
        <w:t>S</w:t>
      </w:r>
      <w:r w:rsidRPr="00554D65">
        <w:rPr>
          <w:rFonts w:asciiTheme="majorBidi" w:hAnsiTheme="majorBidi" w:cstheme="majorBidi"/>
          <w:b/>
          <w:bCs/>
          <w:sz w:val="28"/>
          <w:szCs w:val="28"/>
          <w:lang w:val="en-US"/>
        </w:rPr>
        <w:t xml:space="preserve">tudy </w:t>
      </w:r>
      <w:r w:rsidRPr="00302DED">
        <w:rPr>
          <w:rFonts w:asciiTheme="majorBidi" w:hAnsiTheme="majorBidi" w:cstheme="majorBidi"/>
          <w:b/>
          <w:bCs/>
          <w:sz w:val="28"/>
          <w:szCs w:val="28"/>
          <w:lang w:val="en-US"/>
        </w:rPr>
        <w:t>objectives</w:t>
      </w:r>
    </w:p>
    <w:p w:rsidR="00302DED" w:rsidRDefault="00302DED" w:rsidP="00302DED">
      <w:pPr>
        <w:rPr>
          <w:rFonts w:asciiTheme="majorBidi" w:hAnsiTheme="majorBidi" w:cstheme="majorBidi"/>
          <w:sz w:val="28"/>
          <w:szCs w:val="28"/>
          <w:lang w:val="en-US"/>
        </w:rPr>
      </w:pPr>
      <w:r w:rsidRPr="00960585">
        <w:rPr>
          <w:rFonts w:asciiTheme="majorBidi" w:hAnsiTheme="majorBidi" w:cstheme="majorBidi"/>
          <w:sz w:val="28"/>
          <w:szCs w:val="28"/>
          <w:lang w:val="en-US"/>
        </w:rPr>
        <w:t xml:space="preserve">The </w:t>
      </w:r>
      <w:r>
        <w:rPr>
          <w:rFonts w:asciiTheme="majorBidi" w:hAnsiTheme="majorBidi" w:cstheme="majorBidi"/>
          <w:sz w:val="28"/>
          <w:szCs w:val="28"/>
          <w:lang w:val="en-US"/>
        </w:rPr>
        <w:t>purpose</w:t>
      </w:r>
      <w:r w:rsidRPr="00960585">
        <w:rPr>
          <w:rFonts w:asciiTheme="majorBidi" w:hAnsiTheme="majorBidi" w:cstheme="majorBidi"/>
          <w:sz w:val="28"/>
          <w:szCs w:val="28"/>
          <w:lang w:val="en-US"/>
        </w:rPr>
        <w:t xml:space="preserve"> of this study is to determine </w:t>
      </w:r>
      <w:r>
        <w:rPr>
          <w:rFonts w:asciiTheme="majorBidi" w:hAnsiTheme="majorBidi" w:cstheme="majorBidi"/>
          <w:sz w:val="28"/>
          <w:szCs w:val="28"/>
          <w:lang w:val="en-US"/>
        </w:rPr>
        <w:t>efficiency</w:t>
      </w:r>
      <w:r w:rsidRPr="00960585">
        <w:rPr>
          <w:rFonts w:asciiTheme="majorBidi" w:hAnsiTheme="majorBidi" w:cstheme="majorBidi"/>
          <w:sz w:val="28"/>
          <w:szCs w:val="28"/>
          <w:lang w:val="en-US"/>
        </w:rPr>
        <w:t xml:space="preserve"> and safety of </w:t>
      </w:r>
      <w:r>
        <w:rPr>
          <w:rFonts w:asciiTheme="majorBidi" w:hAnsiTheme="majorBidi" w:cstheme="majorBidi"/>
          <w:sz w:val="28"/>
          <w:szCs w:val="28"/>
          <w:lang w:val="en-US"/>
        </w:rPr>
        <w:t>application of Enterosgel</w:t>
      </w:r>
      <w:r w:rsidRPr="00960585">
        <w:rPr>
          <w:rFonts w:asciiTheme="majorBidi" w:hAnsiTheme="majorBidi" w:cstheme="majorBidi"/>
          <w:sz w:val="28"/>
          <w:szCs w:val="28"/>
          <w:lang w:val="en-US"/>
        </w:rPr>
        <w:t xml:space="preserve">, indicated for treatment of patients </w:t>
      </w:r>
      <w:r>
        <w:rPr>
          <w:rFonts w:asciiTheme="majorBidi" w:hAnsiTheme="majorBidi" w:cstheme="majorBidi"/>
          <w:sz w:val="28"/>
          <w:szCs w:val="28"/>
          <w:lang w:val="en-US"/>
        </w:rPr>
        <w:t xml:space="preserve">with </w:t>
      </w:r>
      <w:r w:rsidRPr="00960585">
        <w:rPr>
          <w:rFonts w:asciiTheme="majorBidi" w:hAnsiTheme="majorBidi" w:cstheme="majorBidi"/>
          <w:sz w:val="28"/>
          <w:szCs w:val="28"/>
          <w:lang w:val="en-US"/>
        </w:rPr>
        <w:t>diarrhea</w:t>
      </w:r>
      <w:r>
        <w:rPr>
          <w:rFonts w:asciiTheme="majorBidi" w:hAnsiTheme="majorBidi" w:cstheme="majorBidi"/>
          <w:sz w:val="28"/>
          <w:szCs w:val="28"/>
          <w:lang w:val="en-US"/>
        </w:rPr>
        <w:t>-</w:t>
      </w:r>
      <w:r w:rsidRPr="00960585">
        <w:rPr>
          <w:rFonts w:asciiTheme="majorBidi" w:hAnsiTheme="majorBidi" w:cstheme="majorBidi"/>
          <w:sz w:val="28"/>
          <w:szCs w:val="28"/>
          <w:lang w:val="en-US"/>
        </w:rPr>
        <w:t xml:space="preserve">predominant irritable bowel syndrome. </w:t>
      </w:r>
    </w:p>
    <w:p w:rsidR="009A3685" w:rsidRPr="00D932DD" w:rsidRDefault="009A3685" w:rsidP="000A436E">
      <w:pPr>
        <w:rPr>
          <w:rFonts w:asciiTheme="majorBidi" w:hAnsiTheme="majorBidi" w:cstheme="majorBidi"/>
          <w:sz w:val="28"/>
          <w:szCs w:val="28"/>
          <w:lang w:val="en-US"/>
        </w:rPr>
      </w:pPr>
    </w:p>
    <w:p w:rsidR="00846615" w:rsidRPr="00E6385C" w:rsidRDefault="00846615" w:rsidP="00846615">
      <w:pPr>
        <w:rPr>
          <w:rFonts w:asciiTheme="majorBidi" w:hAnsiTheme="majorBidi" w:cstheme="majorBidi"/>
          <w:b/>
          <w:sz w:val="28"/>
          <w:szCs w:val="28"/>
          <w:lang w:val="en-US"/>
        </w:rPr>
      </w:pPr>
      <w:r w:rsidRPr="00E6385C">
        <w:rPr>
          <w:rFonts w:asciiTheme="majorBidi" w:hAnsiTheme="majorBidi" w:cstheme="majorBidi"/>
          <w:b/>
          <w:sz w:val="28"/>
          <w:szCs w:val="28"/>
          <w:lang w:val="en-US"/>
        </w:rPr>
        <w:t xml:space="preserve">Materials and methods </w:t>
      </w:r>
    </w:p>
    <w:p w:rsidR="002575C8" w:rsidRDefault="0089011A" w:rsidP="00D047D4">
      <w:pPr>
        <w:rPr>
          <w:rFonts w:asciiTheme="majorBidi" w:hAnsiTheme="majorBidi" w:cstheme="majorBidi"/>
          <w:sz w:val="28"/>
          <w:szCs w:val="28"/>
          <w:lang w:val="en-US"/>
        </w:rPr>
      </w:pPr>
      <w:r>
        <w:rPr>
          <w:sz w:val="28"/>
          <w:szCs w:val="28"/>
          <w:lang w:val="en-US"/>
        </w:rPr>
        <w:t xml:space="preserve">The </w:t>
      </w:r>
      <w:r w:rsidRPr="00ED5612">
        <w:rPr>
          <w:rFonts w:asciiTheme="majorBidi" w:hAnsiTheme="majorBidi" w:cstheme="majorBidi"/>
          <w:sz w:val="28"/>
          <w:szCs w:val="28"/>
          <w:lang w:val="en-US"/>
        </w:rPr>
        <w:t xml:space="preserve">study </w:t>
      </w:r>
      <w:r>
        <w:rPr>
          <w:rFonts w:asciiTheme="majorBidi" w:hAnsiTheme="majorBidi" w:cstheme="majorBidi"/>
          <w:sz w:val="28"/>
          <w:szCs w:val="28"/>
          <w:lang w:val="en-US"/>
        </w:rPr>
        <w:t xml:space="preserve">was </w:t>
      </w:r>
      <w:r w:rsidRPr="00ED5612">
        <w:rPr>
          <w:rFonts w:asciiTheme="majorBidi" w:hAnsiTheme="majorBidi" w:cstheme="majorBidi"/>
          <w:sz w:val="28"/>
          <w:szCs w:val="28"/>
          <w:lang w:val="en-US"/>
        </w:rPr>
        <w:t>conducted in the gastroenterology clinic of Northwest State Medical University named after I.I. Mechnikov.</w:t>
      </w:r>
      <w:r w:rsidR="003835B4">
        <w:rPr>
          <w:rFonts w:asciiTheme="majorBidi" w:hAnsiTheme="majorBidi" w:cstheme="majorBidi"/>
          <w:sz w:val="28"/>
          <w:szCs w:val="28"/>
          <w:lang w:val="en-US"/>
        </w:rPr>
        <w:t xml:space="preserve"> </w:t>
      </w:r>
      <w:r w:rsidRPr="00ED5612">
        <w:rPr>
          <w:rFonts w:asciiTheme="majorBidi" w:hAnsiTheme="majorBidi" w:cstheme="majorBidi"/>
          <w:sz w:val="28"/>
          <w:szCs w:val="28"/>
          <w:lang w:val="en-US"/>
        </w:rPr>
        <w:t>30 patients with</w:t>
      </w:r>
      <w:r w:rsidR="003835B4">
        <w:rPr>
          <w:rFonts w:asciiTheme="majorBidi" w:hAnsiTheme="majorBidi" w:cstheme="majorBidi"/>
          <w:sz w:val="28"/>
          <w:szCs w:val="28"/>
          <w:lang w:val="en-US"/>
        </w:rPr>
        <w:t xml:space="preserve"> diarrhea-prevalent IBS (D-IBS)</w:t>
      </w:r>
      <w:r w:rsidRPr="00ED5612">
        <w:rPr>
          <w:rFonts w:asciiTheme="majorBidi" w:hAnsiTheme="majorBidi" w:cstheme="majorBidi"/>
          <w:sz w:val="28"/>
          <w:szCs w:val="28"/>
          <w:lang w:val="en-US"/>
        </w:rPr>
        <w:t xml:space="preserve"> </w:t>
      </w:r>
      <w:r w:rsidR="00D35E16">
        <w:rPr>
          <w:rFonts w:asciiTheme="majorBidi" w:hAnsiTheme="majorBidi" w:cstheme="majorBidi"/>
          <w:sz w:val="28"/>
          <w:szCs w:val="28"/>
          <w:lang w:val="en-US"/>
        </w:rPr>
        <w:t xml:space="preserve">confirmed </w:t>
      </w:r>
      <w:r w:rsidR="00D35E16" w:rsidRPr="00D35E16">
        <w:rPr>
          <w:rFonts w:asciiTheme="majorBidi" w:hAnsiTheme="majorBidi" w:cstheme="majorBidi"/>
          <w:sz w:val="28"/>
          <w:szCs w:val="28"/>
          <w:lang w:val="en-US"/>
        </w:rPr>
        <w:t xml:space="preserve">according to </w:t>
      </w:r>
      <w:r w:rsidR="00D35E16">
        <w:rPr>
          <w:rFonts w:asciiTheme="majorBidi" w:hAnsiTheme="majorBidi" w:cstheme="majorBidi"/>
          <w:sz w:val="28"/>
          <w:szCs w:val="28"/>
          <w:lang w:val="en-US"/>
        </w:rPr>
        <w:t xml:space="preserve">Rome III criteria </w:t>
      </w:r>
      <w:r>
        <w:rPr>
          <w:rFonts w:asciiTheme="majorBidi" w:hAnsiTheme="majorBidi" w:cstheme="majorBidi"/>
          <w:sz w:val="28"/>
          <w:szCs w:val="28"/>
          <w:lang w:val="en-US"/>
        </w:rPr>
        <w:t>were included in the study</w:t>
      </w:r>
      <w:r w:rsidRPr="00ED5612">
        <w:rPr>
          <w:rFonts w:asciiTheme="majorBidi" w:hAnsiTheme="majorBidi" w:cstheme="majorBidi"/>
          <w:sz w:val="28"/>
          <w:szCs w:val="28"/>
          <w:lang w:val="en-US"/>
        </w:rPr>
        <w:t>.</w:t>
      </w:r>
      <w:r>
        <w:rPr>
          <w:rFonts w:asciiTheme="majorBidi" w:hAnsiTheme="majorBidi" w:cstheme="majorBidi"/>
          <w:sz w:val="28"/>
          <w:szCs w:val="28"/>
          <w:lang w:val="en-US"/>
        </w:rPr>
        <w:t xml:space="preserve"> </w:t>
      </w:r>
      <w:r w:rsidRPr="00ED5612">
        <w:rPr>
          <w:rFonts w:asciiTheme="majorBidi" w:hAnsiTheme="majorBidi" w:cstheme="majorBidi"/>
          <w:sz w:val="28"/>
          <w:szCs w:val="28"/>
          <w:lang w:val="en-US"/>
        </w:rPr>
        <w:t xml:space="preserve">The average age of the patients was </w:t>
      </w:r>
      <w:r w:rsidR="004A64C5">
        <w:rPr>
          <w:rFonts w:asciiTheme="majorBidi" w:hAnsiTheme="majorBidi" w:cstheme="majorBidi"/>
          <w:sz w:val="28"/>
          <w:szCs w:val="28"/>
          <w:lang w:val="en-US"/>
        </w:rPr>
        <w:t>38.0 ± 10.2</w:t>
      </w:r>
      <w:r w:rsidRPr="00ED5612">
        <w:rPr>
          <w:rFonts w:asciiTheme="majorBidi" w:hAnsiTheme="majorBidi" w:cstheme="majorBidi"/>
          <w:sz w:val="28"/>
          <w:szCs w:val="28"/>
          <w:lang w:val="en-US"/>
        </w:rPr>
        <w:t xml:space="preserve"> years. Gender distribution of patients: men - 14, women - 16.</w:t>
      </w:r>
      <w:r>
        <w:rPr>
          <w:rFonts w:asciiTheme="majorBidi" w:hAnsiTheme="majorBidi" w:cstheme="majorBidi"/>
          <w:sz w:val="28"/>
          <w:szCs w:val="28"/>
          <w:lang w:val="en-US"/>
        </w:rPr>
        <w:t xml:space="preserve"> The p</w:t>
      </w:r>
      <w:r w:rsidRPr="00ED5612">
        <w:rPr>
          <w:rFonts w:asciiTheme="majorBidi" w:hAnsiTheme="majorBidi" w:cstheme="majorBidi"/>
          <w:sz w:val="28"/>
          <w:szCs w:val="28"/>
          <w:lang w:val="en-US"/>
        </w:rPr>
        <w:t>atients were divided into 2 groups</w:t>
      </w:r>
      <w:r>
        <w:rPr>
          <w:rFonts w:asciiTheme="majorBidi" w:hAnsiTheme="majorBidi" w:cstheme="majorBidi"/>
          <w:sz w:val="28"/>
          <w:szCs w:val="28"/>
          <w:lang w:val="en-US"/>
        </w:rPr>
        <w:t>: the main group (n = 15)</w:t>
      </w:r>
      <w:r w:rsidRPr="00ED5612">
        <w:rPr>
          <w:rFonts w:asciiTheme="majorBidi" w:hAnsiTheme="majorBidi" w:cstheme="majorBidi"/>
          <w:sz w:val="28"/>
          <w:szCs w:val="28"/>
          <w:lang w:val="en-US"/>
        </w:rPr>
        <w:t xml:space="preserve">: treatment with Enterosgel </w:t>
      </w:r>
      <w:r>
        <w:rPr>
          <w:rFonts w:asciiTheme="majorBidi" w:hAnsiTheme="majorBidi" w:cstheme="majorBidi"/>
          <w:sz w:val="28"/>
          <w:szCs w:val="28"/>
          <w:lang w:val="en-US"/>
        </w:rPr>
        <w:t>one dose</w:t>
      </w:r>
      <w:r w:rsidRPr="00ED5612">
        <w:rPr>
          <w:rFonts w:asciiTheme="majorBidi" w:hAnsiTheme="majorBidi" w:cstheme="majorBidi"/>
          <w:sz w:val="28"/>
          <w:szCs w:val="28"/>
          <w:lang w:val="en-US"/>
        </w:rPr>
        <w:t xml:space="preserve"> of pasta 22.5</w:t>
      </w:r>
      <w:r>
        <w:rPr>
          <w:rFonts w:asciiTheme="majorBidi" w:hAnsiTheme="majorBidi" w:cstheme="majorBidi"/>
          <w:sz w:val="28"/>
          <w:szCs w:val="28"/>
          <w:lang w:val="en-US"/>
        </w:rPr>
        <w:t xml:space="preserve"> g</w:t>
      </w:r>
      <w:r w:rsidRPr="00ED5612">
        <w:rPr>
          <w:rFonts w:asciiTheme="majorBidi" w:hAnsiTheme="majorBidi" w:cstheme="majorBidi"/>
          <w:sz w:val="28"/>
          <w:szCs w:val="28"/>
          <w:lang w:val="en-US"/>
        </w:rPr>
        <w:t xml:space="preserve"> </w:t>
      </w:r>
      <w:r>
        <w:rPr>
          <w:rFonts w:asciiTheme="majorBidi" w:hAnsiTheme="majorBidi" w:cstheme="majorBidi"/>
          <w:sz w:val="28"/>
          <w:szCs w:val="28"/>
          <w:lang w:val="en-US"/>
        </w:rPr>
        <w:t xml:space="preserve">(active substance </w:t>
      </w:r>
      <w:r w:rsidRPr="00ED5612">
        <w:rPr>
          <w:rFonts w:asciiTheme="majorBidi" w:hAnsiTheme="majorBidi" w:cstheme="majorBidi"/>
          <w:sz w:val="28"/>
          <w:szCs w:val="28"/>
          <w:lang w:val="en-US"/>
        </w:rPr>
        <w:t>polymethylsiloxane polyhydrate</w:t>
      </w:r>
      <w:r>
        <w:rPr>
          <w:rFonts w:asciiTheme="majorBidi" w:hAnsiTheme="majorBidi" w:cstheme="majorBidi"/>
          <w:sz w:val="28"/>
          <w:szCs w:val="28"/>
          <w:lang w:val="en-US"/>
        </w:rPr>
        <w:t xml:space="preserve">) three times a day after meal during three weeks; </w:t>
      </w:r>
      <w:r w:rsidRPr="00ED5612">
        <w:rPr>
          <w:rFonts w:asciiTheme="majorBidi" w:hAnsiTheme="majorBidi" w:cstheme="majorBidi"/>
          <w:sz w:val="28"/>
          <w:szCs w:val="28"/>
          <w:lang w:val="en-US"/>
        </w:rPr>
        <w:t xml:space="preserve">control group: treatment - </w:t>
      </w:r>
      <w:r w:rsidR="00D047D4">
        <w:rPr>
          <w:rFonts w:ascii="Times New Roman" w:hAnsi="Times New Roman"/>
          <w:sz w:val="28"/>
          <w:szCs w:val="28"/>
          <w:lang w:val="en-US"/>
        </w:rPr>
        <w:t>bismuth</w:t>
      </w:r>
      <w:r w:rsidR="00D047D4" w:rsidRPr="008E5F8D">
        <w:rPr>
          <w:rFonts w:ascii="Times New Roman" w:hAnsi="Times New Roman"/>
          <w:sz w:val="28"/>
          <w:szCs w:val="28"/>
          <w:lang w:val="en-US"/>
        </w:rPr>
        <w:t xml:space="preserve"> </w:t>
      </w:r>
      <w:r w:rsidR="00D047D4" w:rsidRPr="008E5F8D">
        <w:rPr>
          <w:rFonts w:ascii="Times New Roman" w:hAnsi="Times New Roman"/>
          <w:sz w:val="28"/>
          <w:szCs w:val="28"/>
          <w:lang w:val="en-US"/>
        </w:rPr>
        <w:lastRenderedPageBreak/>
        <w:t>tripotass</w:t>
      </w:r>
      <w:r w:rsidR="00D047D4">
        <w:rPr>
          <w:rFonts w:ascii="Times New Roman" w:hAnsi="Times New Roman"/>
          <w:sz w:val="28"/>
          <w:szCs w:val="28"/>
          <w:lang w:val="en-US"/>
        </w:rPr>
        <w:t>ium dicitrate</w:t>
      </w:r>
      <w:r w:rsidRPr="00ED5612">
        <w:rPr>
          <w:rFonts w:asciiTheme="majorBidi" w:hAnsiTheme="majorBidi" w:cstheme="majorBidi"/>
          <w:sz w:val="28"/>
          <w:szCs w:val="28"/>
          <w:lang w:val="en-US"/>
        </w:rPr>
        <w:t>.</w:t>
      </w:r>
      <w:r>
        <w:rPr>
          <w:rFonts w:asciiTheme="majorBidi" w:hAnsiTheme="majorBidi" w:cstheme="majorBidi"/>
          <w:sz w:val="28"/>
          <w:szCs w:val="28"/>
          <w:lang w:val="en-US"/>
        </w:rPr>
        <w:t xml:space="preserve"> </w:t>
      </w:r>
      <w:r w:rsidR="00F811F6">
        <w:rPr>
          <w:rFonts w:asciiTheme="majorBidi" w:hAnsiTheme="majorBidi" w:cstheme="majorBidi"/>
          <w:sz w:val="28"/>
          <w:szCs w:val="28"/>
          <w:lang w:val="en-US"/>
        </w:rPr>
        <w:t>The drug was administered at a dose one tablet three times a day 30 minutes before meals and one tab</w:t>
      </w:r>
      <w:r w:rsidR="002575C8">
        <w:rPr>
          <w:rFonts w:asciiTheme="majorBidi" w:hAnsiTheme="majorBidi" w:cstheme="majorBidi"/>
          <w:sz w:val="28"/>
          <w:szCs w:val="28"/>
          <w:lang w:val="en-US"/>
        </w:rPr>
        <w:t>let in the evening for 21 days.</w:t>
      </w:r>
    </w:p>
    <w:p w:rsidR="003953AA" w:rsidRPr="003953AA" w:rsidRDefault="0089011A" w:rsidP="00D047D4">
      <w:pPr>
        <w:rPr>
          <w:rFonts w:asciiTheme="majorBidi" w:hAnsiTheme="majorBidi" w:cstheme="majorBidi"/>
          <w:sz w:val="28"/>
          <w:szCs w:val="28"/>
          <w:lang w:val="en-US"/>
        </w:rPr>
      </w:pPr>
      <w:r>
        <w:rPr>
          <w:rFonts w:asciiTheme="majorBidi" w:hAnsiTheme="majorBidi" w:cstheme="majorBidi"/>
          <w:sz w:val="28"/>
          <w:szCs w:val="28"/>
          <w:lang w:val="en-US"/>
        </w:rPr>
        <w:t xml:space="preserve">Manifestation dynamics of </w:t>
      </w:r>
      <w:r w:rsidRPr="00ED5612">
        <w:rPr>
          <w:rFonts w:asciiTheme="majorBidi" w:hAnsiTheme="majorBidi" w:cstheme="majorBidi"/>
          <w:sz w:val="28"/>
          <w:szCs w:val="28"/>
          <w:lang w:val="en-US"/>
        </w:rPr>
        <w:t xml:space="preserve">gastrointestinal complaints </w:t>
      </w:r>
      <w:r>
        <w:rPr>
          <w:rFonts w:asciiTheme="majorBidi" w:hAnsiTheme="majorBidi" w:cstheme="majorBidi"/>
          <w:sz w:val="28"/>
          <w:szCs w:val="28"/>
          <w:lang w:val="en-US"/>
        </w:rPr>
        <w:t>was assessed using the standard questionnaire and</w:t>
      </w:r>
      <w:r w:rsidRPr="00ED5612">
        <w:rPr>
          <w:rFonts w:asciiTheme="majorBidi" w:hAnsiTheme="majorBidi" w:cstheme="majorBidi"/>
          <w:sz w:val="28"/>
          <w:szCs w:val="28"/>
          <w:lang w:val="en-US"/>
        </w:rPr>
        <w:t xml:space="preserve"> GSRS questionnaire</w:t>
      </w:r>
      <w:r>
        <w:rPr>
          <w:rFonts w:asciiTheme="majorBidi" w:hAnsiTheme="majorBidi" w:cstheme="majorBidi"/>
          <w:sz w:val="28"/>
          <w:szCs w:val="28"/>
          <w:lang w:val="en-US"/>
        </w:rPr>
        <w:t xml:space="preserve">. </w:t>
      </w:r>
      <w:r w:rsidRPr="009A51E4">
        <w:rPr>
          <w:rFonts w:ascii="Times New Roman" w:hAnsi="Times New Roman"/>
          <w:sz w:val="28"/>
          <w:szCs w:val="28"/>
          <w:lang w:val="en-US"/>
        </w:rPr>
        <w:t>GSRS</w:t>
      </w:r>
      <w:r>
        <w:rPr>
          <w:rFonts w:ascii="Times New Roman" w:hAnsi="Times New Roman"/>
          <w:sz w:val="28"/>
          <w:szCs w:val="28"/>
          <w:lang w:val="en-US"/>
        </w:rPr>
        <w:t xml:space="preserve"> </w:t>
      </w:r>
      <w:r w:rsidRPr="00ED5612">
        <w:rPr>
          <w:rFonts w:asciiTheme="majorBidi" w:hAnsiTheme="majorBidi" w:cstheme="majorBidi"/>
          <w:sz w:val="28"/>
          <w:szCs w:val="28"/>
          <w:lang w:val="en-US"/>
        </w:rPr>
        <w:t>questionnaire</w:t>
      </w:r>
      <w:r w:rsidRPr="00DC06A5">
        <w:rPr>
          <w:rFonts w:ascii="Times New Roman" w:hAnsi="Times New Roman"/>
          <w:sz w:val="28"/>
          <w:szCs w:val="28"/>
          <w:lang w:val="en-US"/>
        </w:rPr>
        <w:t xml:space="preserve"> (Gastrointestinal Symptom Rating Scale)</w:t>
      </w:r>
      <w:r>
        <w:rPr>
          <w:rFonts w:ascii="Times New Roman" w:hAnsi="Times New Roman"/>
          <w:sz w:val="28"/>
          <w:szCs w:val="28"/>
          <w:lang w:val="en-US"/>
        </w:rPr>
        <w:t xml:space="preserve"> has been developed by department of studies on life quality (QOL), </w:t>
      </w:r>
      <w:r w:rsidRPr="009A51E4">
        <w:rPr>
          <w:rFonts w:ascii="Times New Roman" w:hAnsi="Times New Roman"/>
          <w:sz w:val="28"/>
          <w:szCs w:val="28"/>
          <w:lang w:val="en-US"/>
        </w:rPr>
        <w:t>ASTRA</w:t>
      </w:r>
      <w:r w:rsidRPr="00DC06A5">
        <w:rPr>
          <w:rFonts w:ascii="Times New Roman" w:hAnsi="Times New Roman"/>
          <w:sz w:val="28"/>
          <w:szCs w:val="28"/>
          <w:lang w:val="en-US"/>
        </w:rPr>
        <w:t xml:space="preserve"> </w:t>
      </w:r>
      <w:r w:rsidRPr="009A51E4">
        <w:rPr>
          <w:rFonts w:ascii="Times New Roman" w:hAnsi="Times New Roman"/>
          <w:sz w:val="28"/>
          <w:szCs w:val="28"/>
          <w:lang w:val="en-US"/>
        </w:rPr>
        <w:t>Hassle</w:t>
      </w:r>
      <w:r w:rsidRPr="00DC06A5">
        <w:rPr>
          <w:rFonts w:ascii="Times New Roman" w:hAnsi="Times New Roman"/>
          <w:sz w:val="28"/>
          <w:szCs w:val="28"/>
          <w:lang w:val="en-US"/>
        </w:rPr>
        <w:t xml:space="preserve"> (</w:t>
      </w:r>
      <w:r w:rsidRPr="009A51E4">
        <w:rPr>
          <w:rFonts w:ascii="Times New Roman" w:hAnsi="Times New Roman"/>
          <w:color w:val="000000"/>
          <w:sz w:val="28"/>
          <w:szCs w:val="28"/>
          <w:lang w:val="en-US"/>
        </w:rPr>
        <w:t>I</w:t>
      </w:r>
      <w:r w:rsidRPr="00DC06A5">
        <w:rPr>
          <w:rFonts w:ascii="Times New Roman" w:hAnsi="Times New Roman"/>
          <w:color w:val="000000"/>
          <w:sz w:val="28"/>
          <w:szCs w:val="28"/>
          <w:lang w:val="en-US"/>
        </w:rPr>
        <w:t>.</w:t>
      </w:r>
      <w:r w:rsidRPr="009A51E4">
        <w:rPr>
          <w:rFonts w:ascii="Times New Roman" w:hAnsi="Times New Roman"/>
          <w:color w:val="000000"/>
          <w:sz w:val="28"/>
          <w:szCs w:val="28"/>
          <w:lang w:val="en-US"/>
        </w:rPr>
        <w:t>Wiklund</w:t>
      </w:r>
      <w:r w:rsidRPr="00DC06A5">
        <w:rPr>
          <w:rFonts w:ascii="Times New Roman" w:hAnsi="Times New Roman"/>
          <w:color w:val="000000"/>
          <w:sz w:val="28"/>
          <w:szCs w:val="28"/>
          <w:lang w:val="en-US"/>
        </w:rPr>
        <w:t>, 1998)</w:t>
      </w:r>
      <w:r>
        <w:rPr>
          <w:rFonts w:ascii="Times New Roman" w:hAnsi="Times New Roman"/>
          <w:color w:val="000000"/>
          <w:sz w:val="28"/>
          <w:szCs w:val="28"/>
          <w:lang w:val="en-US"/>
        </w:rPr>
        <w:t xml:space="preserve"> and is used for QOL assessment of patients with gastrointestinal diseases. </w:t>
      </w:r>
      <w:r w:rsidRPr="000E111B">
        <w:rPr>
          <w:rFonts w:ascii="Times New Roman" w:hAnsi="Times New Roman"/>
          <w:color w:val="000000"/>
          <w:sz w:val="28"/>
          <w:szCs w:val="28"/>
          <w:lang w:val="fr-FR"/>
        </w:rPr>
        <w:t xml:space="preserve">The questionnaire consists of 15 points organized in five scales: abdominal pain (questions 1, 4), reflux syndrome (questions 2, 3, 5), diarrheal syndrome (questions 11, 12, 14), dyspeptic syndrome (questions 6, 7, 8, 9), constipation syndrome (questions 10, 13, 15), total measurement scale (questions 1-15). </w:t>
      </w:r>
      <w:r w:rsidRPr="000C0DFB">
        <w:rPr>
          <w:rFonts w:ascii="Times New Roman" w:hAnsi="Times New Roman"/>
          <w:color w:val="000000"/>
          <w:sz w:val="28"/>
          <w:szCs w:val="28"/>
          <w:lang w:val="en-US"/>
        </w:rPr>
        <w:t>The scale values range from 1 to 7, higher values correspond to more expressed symptoms</w:t>
      </w:r>
      <w:r>
        <w:rPr>
          <w:rFonts w:ascii="Times New Roman" w:hAnsi="Times New Roman"/>
          <w:color w:val="000000"/>
          <w:sz w:val="28"/>
          <w:szCs w:val="28"/>
          <w:lang w:val="en-US"/>
        </w:rPr>
        <w:t xml:space="preserve"> and lower QOL.</w:t>
      </w:r>
    </w:p>
    <w:p w:rsidR="000574B0" w:rsidRPr="00F86AC4" w:rsidRDefault="001E2380" w:rsidP="00B66BB9">
      <w:pPr>
        <w:rPr>
          <w:rFonts w:asciiTheme="majorBidi" w:hAnsiTheme="majorBidi" w:cstheme="majorBidi"/>
          <w:sz w:val="28"/>
          <w:szCs w:val="28"/>
          <w:lang w:val="en-US"/>
        </w:rPr>
      </w:pPr>
      <w:r>
        <w:rPr>
          <w:rFonts w:asciiTheme="majorBidi" w:hAnsiTheme="majorBidi" w:cstheme="majorBidi"/>
          <w:sz w:val="28"/>
          <w:szCs w:val="28"/>
          <w:lang w:val="en-US"/>
        </w:rPr>
        <w:t>In all the patients</w:t>
      </w:r>
      <w:r w:rsidR="0027775B" w:rsidRPr="0027775B">
        <w:rPr>
          <w:rFonts w:asciiTheme="majorBidi" w:hAnsiTheme="majorBidi" w:cstheme="majorBidi"/>
          <w:sz w:val="28"/>
          <w:szCs w:val="28"/>
          <w:lang w:val="en-US"/>
        </w:rPr>
        <w:t>,</w:t>
      </w:r>
      <w:r>
        <w:rPr>
          <w:rFonts w:asciiTheme="majorBidi" w:hAnsiTheme="majorBidi" w:cstheme="majorBidi"/>
          <w:sz w:val="28"/>
          <w:szCs w:val="28"/>
          <w:lang w:val="en-US"/>
        </w:rPr>
        <w:t xml:space="preserve"> stool form and consistency was evaluated as well (Bristol scale) before and after treatment.</w:t>
      </w:r>
    </w:p>
    <w:p w:rsidR="00DF19D2" w:rsidRPr="006177A4" w:rsidRDefault="00B517D9" w:rsidP="009836C5">
      <w:pPr>
        <w:spacing w:after="0" w:line="360" w:lineRule="auto"/>
        <w:ind w:firstLine="709"/>
        <w:jc w:val="both"/>
        <w:rPr>
          <w:rFonts w:ascii="Times New Roman" w:hAnsi="Times New Roman"/>
          <w:sz w:val="28"/>
          <w:szCs w:val="28"/>
          <w:lang w:val="en-US"/>
        </w:rPr>
      </w:pPr>
      <w:r w:rsidRPr="00B517D9">
        <w:rPr>
          <w:rFonts w:asciiTheme="majorBidi" w:hAnsiTheme="majorBidi" w:cstheme="majorBidi"/>
          <w:sz w:val="28"/>
          <w:szCs w:val="28"/>
          <w:lang w:val="en-US"/>
        </w:rPr>
        <w:t>In all the patients</w:t>
      </w:r>
      <w:r w:rsidR="0027775B" w:rsidRPr="0027775B">
        <w:rPr>
          <w:rFonts w:asciiTheme="majorBidi" w:hAnsiTheme="majorBidi" w:cstheme="majorBidi"/>
          <w:sz w:val="28"/>
          <w:szCs w:val="28"/>
          <w:lang w:val="en-US"/>
        </w:rPr>
        <w:t>,</w:t>
      </w:r>
      <w:r w:rsidRPr="00B517D9">
        <w:rPr>
          <w:rFonts w:asciiTheme="majorBidi" w:hAnsiTheme="majorBidi" w:cstheme="majorBidi"/>
          <w:sz w:val="28"/>
          <w:szCs w:val="28"/>
          <w:lang w:val="en-US"/>
        </w:rPr>
        <w:t xml:space="preserve"> study of </w:t>
      </w:r>
      <w:r w:rsidR="00E82529">
        <w:rPr>
          <w:rFonts w:asciiTheme="majorBidi" w:hAnsiTheme="majorBidi" w:cstheme="majorBidi"/>
          <w:sz w:val="28"/>
          <w:szCs w:val="28"/>
          <w:lang w:val="en-US"/>
        </w:rPr>
        <w:t xml:space="preserve">the GIT </w:t>
      </w:r>
      <w:r w:rsidRPr="00B517D9">
        <w:rPr>
          <w:rFonts w:asciiTheme="majorBidi" w:hAnsiTheme="majorBidi" w:cstheme="majorBidi"/>
          <w:sz w:val="28"/>
          <w:szCs w:val="28"/>
          <w:lang w:val="en-US"/>
        </w:rPr>
        <w:t xml:space="preserve">motor-evacuation function </w:t>
      </w:r>
      <w:r>
        <w:rPr>
          <w:rFonts w:asciiTheme="majorBidi" w:hAnsiTheme="majorBidi" w:cstheme="majorBidi"/>
          <w:sz w:val="28"/>
          <w:szCs w:val="28"/>
          <w:lang w:val="en-US"/>
        </w:rPr>
        <w:t xml:space="preserve">was </w:t>
      </w:r>
      <w:r w:rsidR="0027775B">
        <w:rPr>
          <w:rFonts w:asciiTheme="majorBidi" w:hAnsiTheme="majorBidi" w:cstheme="majorBidi"/>
          <w:sz w:val="28"/>
          <w:szCs w:val="28"/>
          <w:lang w:val="en-US"/>
        </w:rPr>
        <w:t>performed</w:t>
      </w:r>
      <w:r w:rsidR="00E82529">
        <w:rPr>
          <w:rFonts w:asciiTheme="majorBidi" w:hAnsiTheme="majorBidi" w:cstheme="majorBidi"/>
          <w:sz w:val="28"/>
          <w:szCs w:val="28"/>
          <w:lang w:val="en-US"/>
        </w:rPr>
        <w:t xml:space="preserve"> </w:t>
      </w:r>
      <w:r w:rsidR="005752A0">
        <w:rPr>
          <w:rFonts w:asciiTheme="majorBidi" w:hAnsiTheme="majorBidi" w:cstheme="majorBidi"/>
          <w:sz w:val="28"/>
          <w:szCs w:val="28"/>
          <w:lang w:val="en-US"/>
        </w:rPr>
        <w:t>with</w:t>
      </w:r>
      <w:r w:rsidR="00E82529">
        <w:rPr>
          <w:rFonts w:asciiTheme="majorBidi" w:hAnsiTheme="majorBidi" w:cstheme="majorBidi"/>
          <w:sz w:val="28"/>
          <w:szCs w:val="28"/>
          <w:lang w:val="en-US"/>
        </w:rPr>
        <w:t xml:space="preserve"> </w:t>
      </w:r>
      <w:r w:rsidR="005752A0">
        <w:rPr>
          <w:rFonts w:asciiTheme="majorBidi" w:hAnsiTheme="majorBidi" w:cstheme="majorBidi"/>
          <w:sz w:val="28"/>
          <w:szCs w:val="28"/>
          <w:lang w:val="en-US"/>
        </w:rPr>
        <w:t>ekect</w:t>
      </w:r>
      <w:r w:rsidR="00605489">
        <w:rPr>
          <w:rFonts w:asciiTheme="majorBidi" w:hAnsiTheme="majorBidi" w:cstheme="majorBidi"/>
          <w:sz w:val="28"/>
          <w:szCs w:val="28"/>
          <w:lang w:val="en-US"/>
        </w:rPr>
        <w:t>rogastroenterography method (EG</w:t>
      </w:r>
      <w:r w:rsidR="005752A0">
        <w:rPr>
          <w:rFonts w:asciiTheme="majorBidi" w:hAnsiTheme="majorBidi" w:cstheme="majorBidi"/>
          <w:sz w:val="28"/>
          <w:szCs w:val="28"/>
          <w:lang w:val="en-US"/>
        </w:rPr>
        <w:t>G)</w:t>
      </w:r>
      <w:r w:rsidR="00DF19D2" w:rsidRPr="00DF19D2">
        <w:rPr>
          <w:rFonts w:asciiTheme="majorBidi" w:hAnsiTheme="majorBidi" w:cstheme="majorBidi"/>
          <w:sz w:val="28"/>
          <w:szCs w:val="28"/>
          <w:lang w:val="en-US"/>
        </w:rPr>
        <w:t xml:space="preserve"> </w:t>
      </w:r>
      <w:r w:rsidR="00DF19D2">
        <w:rPr>
          <w:rFonts w:asciiTheme="majorBidi" w:hAnsiTheme="majorBidi" w:cstheme="majorBidi"/>
          <w:sz w:val="28"/>
          <w:szCs w:val="28"/>
          <w:lang w:val="en-US"/>
        </w:rPr>
        <w:t>using the ap</w:t>
      </w:r>
      <w:r w:rsidR="00DF19D2" w:rsidRPr="00DF19D2">
        <w:rPr>
          <w:rFonts w:asciiTheme="majorBidi" w:hAnsiTheme="majorBidi" w:cstheme="majorBidi"/>
          <w:sz w:val="28"/>
          <w:szCs w:val="28"/>
          <w:lang w:val="en-US"/>
        </w:rPr>
        <w:t xml:space="preserve">paratus </w:t>
      </w:r>
      <w:r w:rsidR="00DF19D2" w:rsidRPr="00DF19D2">
        <w:rPr>
          <w:rFonts w:ascii="Times New Roman" w:hAnsi="Times New Roman"/>
          <w:bCs/>
          <w:sz w:val="28"/>
          <w:szCs w:val="28"/>
          <w:lang w:val="en-US"/>
        </w:rPr>
        <w:t>«Gastroenteromonitor GEM-01».</w:t>
      </w:r>
      <w:r w:rsidR="00DF19D2">
        <w:rPr>
          <w:rFonts w:ascii="Times New Roman" w:hAnsi="Times New Roman"/>
          <w:bCs/>
          <w:sz w:val="28"/>
          <w:szCs w:val="28"/>
          <w:lang w:val="en-US"/>
        </w:rPr>
        <w:t xml:space="preserve"> </w:t>
      </w:r>
      <w:r w:rsidR="00DF19D2" w:rsidRPr="00DF19D2">
        <w:rPr>
          <w:rFonts w:ascii="Times New Roman" w:hAnsi="Times New Roman"/>
          <w:bCs/>
          <w:sz w:val="28"/>
          <w:szCs w:val="28"/>
          <w:lang w:val="en-US"/>
        </w:rPr>
        <w:t>Peripheral computer EGG</w:t>
      </w:r>
      <w:r w:rsidR="00DF19D2" w:rsidRPr="00DF19D2">
        <w:rPr>
          <w:rFonts w:ascii="Times New Roman" w:hAnsi="Times New Roman"/>
          <w:sz w:val="28"/>
          <w:szCs w:val="28"/>
          <w:lang w:val="en-US"/>
        </w:rPr>
        <w:t xml:space="preserve"> is an evaluation method of electric activity of various GIT </w:t>
      </w:r>
      <w:r w:rsidR="003C0EA2">
        <w:rPr>
          <w:rFonts w:ascii="Times New Roman" w:hAnsi="Times New Roman"/>
          <w:sz w:val="28"/>
          <w:szCs w:val="28"/>
          <w:lang w:val="en-US"/>
        </w:rPr>
        <w:t>segments</w:t>
      </w:r>
      <w:r w:rsidR="00DF19D2" w:rsidRPr="00DF19D2">
        <w:rPr>
          <w:rFonts w:ascii="Times New Roman" w:hAnsi="Times New Roman"/>
          <w:sz w:val="28"/>
          <w:szCs w:val="28"/>
          <w:lang w:val="en-US"/>
        </w:rPr>
        <w:t xml:space="preserve">. </w:t>
      </w:r>
      <w:r w:rsidR="006C7F55" w:rsidRPr="006C7F55">
        <w:rPr>
          <w:rFonts w:ascii="Times New Roman" w:hAnsi="Times New Roman"/>
          <w:sz w:val="28"/>
          <w:szCs w:val="28"/>
          <w:lang w:val="en-US"/>
        </w:rPr>
        <w:t>Considering the data</w:t>
      </w:r>
      <w:r w:rsidR="00DF19D2" w:rsidRPr="006C7F55">
        <w:rPr>
          <w:rFonts w:ascii="Times New Roman" w:hAnsi="Times New Roman"/>
          <w:sz w:val="28"/>
          <w:szCs w:val="28"/>
          <w:lang w:val="en-US"/>
        </w:rPr>
        <w:t xml:space="preserve"> </w:t>
      </w:r>
      <w:r w:rsidR="006C7F55" w:rsidRPr="006C7F55">
        <w:rPr>
          <w:rFonts w:ascii="Times New Roman" w:hAnsi="Times New Roman"/>
          <w:sz w:val="28"/>
          <w:szCs w:val="28"/>
          <w:lang w:val="en-US"/>
        </w:rPr>
        <w:t>obtained in EGG</w:t>
      </w:r>
      <w:r w:rsidR="00DF19D2" w:rsidRPr="006C7F55">
        <w:rPr>
          <w:rFonts w:ascii="Times New Roman" w:hAnsi="Times New Roman"/>
          <w:sz w:val="28"/>
          <w:szCs w:val="28"/>
          <w:lang w:val="en-US"/>
        </w:rPr>
        <w:t xml:space="preserve">, </w:t>
      </w:r>
      <w:r w:rsidR="006C7F55" w:rsidRPr="006C7F55">
        <w:rPr>
          <w:rFonts w:ascii="Times New Roman" w:hAnsi="Times New Roman"/>
          <w:sz w:val="28"/>
          <w:szCs w:val="28"/>
          <w:lang w:val="en-US"/>
        </w:rPr>
        <w:t>the following values were evaluated</w:t>
      </w:r>
      <w:r w:rsidR="00DF19D2" w:rsidRPr="006C7F55">
        <w:rPr>
          <w:rFonts w:ascii="Times New Roman" w:hAnsi="Times New Roman"/>
          <w:sz w:val="28"/>
          <w:szCs w:val="28"/>
          <w:lang w:val="en-US"/>
        </w:rPr>
        <w:t xml:space="preserve">: </w:t>
      </w:r>
      <w:r w:rsidR="006C7F55" w:rsidRPr="006C7F55">
        <w:rPr>
          <w:rFonts w:ascii="Times New Roman" w:hAnsi="Times New Roman"/>
          <w:sz w:val="28"/>
          <w:szCs w:val="28"/>
          <w:lang w:val="en-US"/>
        </w:rPr>
        <w:t>total</w:t>
      </w:r>
      <w:r w:rsidR="006C7F55">
        <w:rPr>
          <w:rFonts w:ascii="Times New Roman" w:hAnsi="Times New Roman"/>
          <w:sz w:val="28"/>
          <w:szCs w:val="28"/>
          <w:lang w:val="en-US"/>
        </w:rPr>
        <w:t xml:space="preserve"> level of GIT electric</w:t>
      </w:r>
      <w:r w:rsidR="003C0EA2">
        <w:rPr>
          <w:rFonts w:ascii="Times New Roman" w:hAnsi="Times New Roman"/>
          <w:sz w:val="28"/>
          <w:szCs w:val="28"/>
          <w:lang w:val="en-US"/>
        </w:rPr>
        <w:t>al</w:t>
      </w:r>
      <w:r w:rsidR="006C7F55">
        <w:rPr>
          <w:rFonts w:ascii="Times New Roman" w:hAnsi="Times New Roman"/>
          <w:sz w:val="28"/>
          <w:szCs w:val="28"/>
          <w:lang w:val="en-US"/>
        </w:rPr>
        <w:t xml:space="preserve"> activity</w:t>
      </w:r>
      <w:r w:rsidR="00DF19D2" w:rsidRPr="006C7F55">
        <w:rPr>
          <w:rFonts w:ascii="Times New Roman" w:hAnsi="Times New Roman"/>
          <w:sz w:val="28"/>
          <w:szCs w:val="28"/>
          <w:lang w:val="en-US"/>
        </w:rPr>
        <w:t xml:space="preserve">; </w:t>
      </w:r>
      <w:r w:rsidR="002719BB" w:rsidRPr="002719BB">
        <w:rPr>
          <w:rFonts w:ascii="Times New Roman" w:hAnsi="Times New Roman"/>
          <w:sz w:val="28"/>
          <w:szCs w:val="28"/>
          <w:lang w:val="en-US"/>
        </w:rPr>
        <w:t>l</w:t>
      </w:r>
      <w:r w:rsidR="002719BB">
        <w:rPr>
          <w:rFonts w:ascii="Times New Roman" w:hAnsi="Times New Roman"/>
          <w:sz w:val="28"/>
          <w:szCs w:val="28"/>
          <w:lang w:val="en-US"/>
        </w:rPr>
        <w:t>evel of electric</w:t>
      </w:r>
      <w:r w:rsidR="003C0EA2">
        <w:rPr>
          <w:rFonts w:ascii="Times New Roman" w:hAnsi="Times New Roman"/>
          <w:sz w:val="28"/>
          <w:szCs w:val="28"/>
          <w:lang w:val="en-US"/>
        </w:rPr>
        <w:t>al</w:t>
      </w:r>
      <w:r w:rsidR="002719BB">
        <w:rPr>
          <w:rFonts w:ascii="Times New Roman" w:hAnsi="Times New Roman"/>
          <w:sz w:val="28"/>
          <w:szCs w:val="28"/>
          <w:lang w:val="en-US"/>
        </w:rPr>
        <w:t xml:space="preserve"> activity for ea</w:t>
      </w:r>
      <w:r w:rsidR="002719BB" w:rsidRPr="002719BB">
        <w:rPr>
          <w:rFonts w:ascii="Times New Roman" w:hAnsi="Times New Roman"/>
          <w:sz w:val="28"/>
          <w:szCs w:val="28"/>
          <w:lang w:val="en-US"/>
        </w:rPr>
        <w:t xml:space="preserve">ch one </w:t>
      </w:r>
      <w:r w:rsidR="002719BB">
        <w:rPr>
          <w:rFonts w:ascii="Times New Roman" w:hAnsi="Times New Roman"/>
          <w:sz w:val="28"/>
          <w:szCs w:val="28"/>
          <w:lang w:val="en-US"/>
        </w:rPr>
        <w:t>of t</w:t>
      </w:r>
      <w:r w:rsidR="002719BB" w:rsidRPr="002719BB">
        <w:rPr>
          <w:rFonts w:ascii="Times New Roman" w:hAnsi="Times New Roman"/>
          <w:sz w:val="28"/>
          <w:szCs w:val="28"/>
          <w:lang w:val="en-US"/>
        </w:rPr>
        <w:t xml:space="preserve">he GIT </w:t>
      </w:r>
      <w:r w:rsidR="003C0EA2">
        <w:rPr>
          <w:rFonts w:ascii="Times New Roman" w:hAnsi="Times New Roman"/>
          <w:sz w:val="28"/>
          <w:szCs w:val="28"/>
          <w:lang w:val="en-US"/>
        </w:rPr>
        <w:t>segments</w:t>
      </w:r>
      <w:r w:rsidR="002719BB" w:rsidRPr="002719BB">
        <w:rPr>
          <w:rFonts w:ascii="Times New Roman" w:hAnsi="Times New Roman"/>
          <w:sz w:val="28"/>
          <w:szCs w:val="28"/>
          <w:lang w:val="en-US"/>
        </w:rPr>
        <w:t xml:space="preserve"> studied</w:t>
      </w:r>
      <w:r w:rsidR="003C0EA2">
        <w:rPr>
          <w:rFonts w:ascii="Times New Roman" w:hAnsi="Times New Roman"/>
          <w:sz w:val="28"/>
          <w:szCs w:val="28"/>
          <w:lang w:val="en-US"/>
        </w:rPr>
        <w:t>.</w:t>
      </w:r>
      <w:r w:rsidR="00DF19D2" w:rsidRPr="006C7F55">
        <w:rPr>
          <w:rFonts w:ascii="Times New Roman" w:hAnsi="Times New Roman"/>
          <w:sz w:val="28"/>
          <w:szCs w:val="28"/>
          <w:lang w:val="en-US"/>
        </w:rPr>
        <w:t xml:space="preserve"> </w:t>
      </w:r>
      <w:r w:rsidR="003C0EA2" w:rsidRPr="003C0EA2">
        <w:rPr>
          <w:rFonts w:ascii="Times New Roman" w:hAnsi="Times New Roman"/>
          <w:sz w:val="28"/>
          <w:szCs w:val="28"/>
          <w:lang w:val="en-US"/>
        </w:rPr>
        <w:t>A</w:t>
      </w:r>
      <w:r w:rsidR="003C0EA2">
        <w:rPr>
          <w:rFonts w:ascii="Times New Roman" w:hAnsi="Times New Roman"/>
          <w:sz w:val="28"/>
          <w:szCs w:val="28"/>
          <w:lang w:val="en-US"/>
        </w:rPr>
        <w:t xml:space="preserve"> </w:t>
      </w:r>
      <w:r w:rsidR="003C0EA2" w:rsidRPr="003C0EA2">
        <w:rPr>
          <w:rFonts w:ascii="Times New Roman" w:hAnsi="Times New Roman"/>
          <w:sz w:val="28"/>
          <w:szCs w:val="28"/>
          <w:lang w:val="en-US"/>
        </w:rPr>
        <w:t xml:space="preserve">standard </w:t>
      </w:r>
      <w:r w:rsidR="003C0EA2">
        <w:rPr>
          <w:rFonts w:ascii="Times New Roman" w:hAnsi="Times New Roman"/>
          <w:sz w:val="28"/>
          <w:szCs w:val="28"/>
          <w:lang w:val="en-US"/>
        </w:rPr>
        <w:t>study of GIT electrical activity consists of two stages</w:t>
      </w:r>
      <w:r w:rsidR="00DF19D2" w:rsidRPr="006C7F55">
        <w:rPr>
          <w:rFonts w:ascii="Times New Roman" w:hAnsi="Times New Roman"/>
          <w:sz w:val="28"/>
          <w:szCs w:val="28"/>
          <w:lang w:val="en-US"/>
        </w:rPr>
        <w:t xml:space="preserve">: </w:t>
      </w:r>
      <w:r w:rsidR="00A06A7E" w:rsidRPr="00A06A7E">
        <w:rPr>
          <w:rFonts w:ascii="Times New Roman" w:hAnsi="Times New Roman"/>
          <w:sz w:val="28"/>
          <w:szCs w:val="28"/>
          <w:lang w:val="en-US"/>
        </w:rPr>
        <w:t>the first</w:t>
      </w:r>
      <w:r w:rsidR="00DF19D2" w:rsidRPr="006C7F55">
        <w:rPr>
          <w:rFonts w:ascii="Times New Roman" w:hAnsi="Times New Roman"/>
          <w:sz w:val="28"/>
          <w:szCs w:val="28"/>
          <w:lang w:val="en-US"/>
        </w:rPr>
        <w:t xml:space="preserve"> </w:t>
      </w:r>
      <w:r w:rsidR="00A06A7E">
        <w:rPr>
          <w:rFonts w:ascii="Times New Roman" w:hAnsi="Times New Roman"/>
          <w:sz w:val="28"/>
          <w:szCs w:val="28"/>
          <w:lang w:val="en-US"/>
        </w:rPr>
        <w:t>is</w:t>
      </w:r>
      <w:r w:rsidR="00DF19D2" w:rsidRPr="006C7F55">
        <w:rPr>
          <w:rFonts w:ascii="Times New Roman" w:hAnsi="Times New Roman"/>
          <w:sz w:val="28"/>
          <w:szCs w:val="28"/>
          <w:lang w:val="en-US"/>
        </w:rPr>
        <w:t xml:space="preserve"> </w:t>
      </w:r>
      <w:r w:rsidR="00A06A7E" w:rsidRPr="00A06A7E">
        <w:rPr>
          <w:rFonts w:ascii="Times New Roman" w:hAnsi="Times New Roman"/>
          <w:sz w:val="28"/>
          <w:szCs w:val="28"/>
          <w:lang w:val="en-US"/>
        </w:rPr>
        <w:t>a study on an empty stomach</w:t>
      </w:r>
      <w:r w:rsidR="00A06A7E">
        <w:rPr>
          <w:rFonts w:ascii="Times New Roman" w:hAnsi="Times New Roman"/>
          <w:sz w:val="28"/>
          <w:szCs w:val="28"/>
          <w:lang w:val="en-US"/>
        </w:rPr>
        <w:t xml:space="preserve"> during</w:t>
      </w:r>
      <w:r w:rsidR="00DF19D2" w:rsidRPr="006C7F55">
        <w:rPr>
          <w:rFonts w:ascii="Times New Roman" w:hAnsi="Times New Roman"/>
          <w:sz w:val="28"/>
          <w:szCs w:val="28"/>
          <w:lang w:val="en-US"/>
        </w:rPr>
        <w:t xml:space="preserve"> </w:t>
      </w:r>
      <w:r w:rsidR="00DF19D2" w:rsidRPr="00A06A7E">
        <w:rPr>
          <w:rFonts w:ascii="Times New Roman" w:hAnsi="Times New Roman"/>
          <w:sz w:val="28"/>
          <w:szCs w:val="28"/>
          <w:lang w:val="en-US"/>
        </w:rPr>
        <w:t xml:space="preserve">40 </w:t>
      </w:r>
      <w:r w:rsidR="00A06A7E" w:rsidRPr="00A06A7E">
        <w:rPr>
          <w:rFonts w:ascii="Times New Roman" w:hAnsi="Times New Roman"/>
          <w:sz w:val="28"/>
          <w:szCs w:val="28"/>
          <w:lang w:val="en-US"/>
        </w:rPr>
        <w:t>minutes</w:t>
      </w:r>
      <w:r w:rsidR="00DF19D2" w:rsidRPr="00A06A7E">
        <w:rPr>
          <w:rFonts w:ascii="Times New Roman" w:hAnsi="Times New Roman"/>
          <w:sz w:val="28"/>
          <w:szCs w:val="28"/>
          <w:lang w:val="en-US"/>
        </w:rPr>
        <w:t xml:space="preserve">, </w:t>
      </w:r>
      <w:r w:rsidR="00653110" w:rsidRPr="00653110">
        <w:rPr>
          <w:rFonts w:ascii="Times New Roman" w:hAnsi="Times New Roman"/>
          <w:sz w:val="28"/>
          <w:szCs w:val="28"/>
          <w:lang w:val="en-US"/>
        </w:rPr>
        <w:t>the second stage</w:t>
      </w:r>
      <w:r w:rsidR="00DF19D2" w:rsidRPr="00A06A7E">
        <w:rPr>
          <w:rFonts w:ascii="Times New Roman" w:hAnsi="Times New Roman"/>
          <w:sz w:val="28"/>
          <w:szCs w:val="28"/>
          <w:lang w:val="en-US"/>
        </w:rPr>
        <w:t xml:space="preserve"> </w:t>
      </w:r>
      <w:r w:rsidR="00653110">
        <w:rPr>
          <w:rFonts w:ascii="Times New Roman" w:hAnsi="Times New Roman"/>
          <w:sz w:val="28"/>
          <w:szCs w:val="28"/>
          <w:lang w:val="en-US"/>
        </w:rPr>
        <w:t>is a study after the standard breakfast</w:t>
      </w:r>
      <w:r w:rsidR="00DF19D2" w:rsidRPr="00A06A7E">
        <w:rPr>
          <w:rFonts w:ascii="Times New Roman" w:hAnsi="Times New Roman"/>
          <w:sz w:val="28"/>
          <w:szCs w:val="28"/>
          <w:lang w:val="en-US"/>
        </w:rPr>
        <w:t xml:space="preserve"> </w:t>
      </w:r>
      <w:r w:rsidR="00653110" w:rsidRPr="00653110">
        <w:rPr>
          <w:rFonts w:ascii="Times New Roman" w:hAnsi="Times New Roman"/>
          <w:sz w:val="28"/>
          <w:szCs w:val="28"/>
          <w:lang w:val="en-US"/>
        </w:rPr>
        <w:t>during 40 minutes</w:t>
      </w:r>
      <w:r w:rsidR="00DF19D2" w:rsidRPr="00653110">
        <w:rPr>
          <w:rFonts w:ascii="Times New Roman" w:hAnsi="Times New Roman"/>
          <w:sz w:val="28"/>
          <w:szCs w:val="28"/>
          <w:lang w:val="en-US"/>
        </w:rPr>
        <w:t xml:space="preserve">. </w:t>
      </w:r>
      <w:r w:rsidR="00653110" w:rsidRPr="00682468">
        <w:rPr>
          <w:rFonts w:ascii="Times New Roman" w:hAnsi="Times New Roman"/>
          <w:sz w:val="28"/>
          <w:szCs w:val="28"/>
          <w:lang w:val="en-US"/>
        </w:rPr>
        <w:t xml:space="preserve">After the treatment course the </w:t>
      </w:r>
      <w:r w:rsidR="00653110" w:rsidRPr="00682468">
        <w:rPr>
          <w:rFonts w:ascii="Times New Roman" w:hAnsi="Times New Roman"/>
          <w:sz w:val="28"/>
          <w:szCs w:val="28"/>
          <w:lang w:val="en-US"/>
        </w:rPr>
        <w:lastRenderedPageBreak/>
        <w:t>study was repeated</w:t>
      </w:r>
      <w:r w:rsidR="00DF19D2" w:rsidRPr="00682468">
        <w:rPr>
          <w:rFonts w:ascii="Times New Roman" w:hAnsi="Times New Roman"/>
          <w:sz w:val="28"/>
          <w:szCs w:val="28"/>
          <w:lang w:val="en-US"/>
        </w:rPr>
        <w:t xml:space="preserve">, </w:t>
      </w:r>
      <w:r w:rsidR="00682468" w:rsidRPr="00682468">
        <w:rPr>
          <w:rFonts w:ascii="Times New Roman" w:hAnsi="Times New Roman"/>
          <w:sz w:val="28"/>
          <w:szCs w:val="28"/>
          <w:lang w:val="en-US"/>
        </w:rPr>
        <w:t xml:space="preserve">and the dynamics of basal values of GIT </w:t>
      </w:r>
      <w:r w:rsidR="00682468">
        <w:rPr>
          <w:rFonts w:ascii="Times New Roman" w:hAnsi="Times New Roman"/>
          <w:sz w:val="28"/>
          <w:szCs w:val="28"/>
          <w:lang w:val="en-US"/>
        </w:rPr>
        <w:t>electrical activity was assessed</w:t>
      </w:r>
      <w:r w:rsidR="00DF19D2" w:rsidRPr="00682468">
        <w:rPr>
          <w:rFonts w:ascii="Times New Roman" w:hAnsi="Times New Roman"/>
          <w:sz w:val="28"/>
          <w:szCs w:val="28"/>
          <w:lang w:val="en-US"/>
        </w:rPr>
        <w:t xml:space="preserve">. </w:t>
      </w:r>
      <w:r w:rsidR="006177A4" w:rsidRPr="002E773E">
        <w:rPr>
          <w:rFonts w:ascii="Times New Roman" w:hAnsi="Times New Roman"/>
          <w:sz w:val="28"/>
          <w:szCs w:val="28"/>
          <w:lang w:val="en-US"/>
        </w:rPr>
        <w:t xml:space="preserve">To evaluate the GIT motor activity, a special coefficient was </w:t>
      </w:r>
      <w:r w:rsidR="002E773E" w:rsidRPr="002E773E">
        <w:rPr>
          <w:rFonts w:ascii="Times New Roman" w:hAnsi="Times New Roman"/>
          <w:sz w:val="28"/>
          <w:szCs w:val="28"/>
          <w:lang w:val="en-US"/>
        </w:rPr>
        <w:t>calculated after the food load</w:t>
      </w:r>
      <w:r w:rsidR="00DF19D2" w:rsidRPr="006177A4">
        <w:rPr>
          <w:rFonts w:ascii="Times New Roman" w:hAnsi="Times New Roman"/>
          <w:sz w:val="28"/>
          <w:szCs w:val="28"/>
          <w:lang w:val="en-US"/>
        </w:rPr>
        <w:t xml:space="preserve">, </w:t>
      </w:r>
      <w:r w:rsidR="002E773E" w:rsidRPr="002E773E">
        <w:rPr>
          <w:rFonts w:ascii="Times New Roman" w:hAnsi="Times New Roman"/>
          <w:sz w:val="28"/>
          <w:szCs w:val="28"/>
          <w:lang w:val="en-US"/>
        </w:rPr>
        <w:t>e</w:t>
      </w:r>
      <w:r w:rsidR="002E773E">
        <w:rPr>
          <w:rFonts w:ascii="Times New Roman" w:hAnsi="Times New Roman"/>
          <w:sz w:val="28"/>
          <w:szCs w:val="28"/>
          <w:lang w:val="en-US"/>
        </w:rPr>
        <w:t>q</w:t>
      </w:r>
      <w:r w:rsidR="002E773E" w:rsidRPr="002E773E">
        <w:rPr>
          <w:rFonts w:ascii="Times New Roman" w:hAnsi="Times New Roman"/>
          <w:sz w:val="28"/>
          <w:szCs w:val="28"/>
          <w:lang w:val="en-US"/>
        </w:rPr>
        <w:t xml:space="preserve">ual to ratio of </w:t>
      </w:r>
      <w:r w:rsidR="002E773E">
        <w:rPr>
          <w:rFonts w:ascii="Times New Roman" w:hAnsi="Times New Roman"/>
          <w:sz w:val="28"/>
          <w:szCs w:val="28"/>
          <w:lang w:val="en-US"/>
        </w:rPr>
        <w:t>total postprandial</w:t>
      </w:r>
      <w:r w:rsidR="00DF19D2" w:rsidRPr="006177A4">
        <w:rPr>
          <w:rFonts w:ascii="Times New Roman" w:hAnsi="Times New Roman"/>
          <w:sz w:val="28"/>
          <w:szCs w:val="28"/>
          <w:lang w:val="en-US"/>
        </w:rPr>
        <w:t xml:space="preserve"> </w:t>
      </w:r>
      <w:r w:rsidR="002E773E" w:rsidRPr="002E773E">
        <w:rPr>
          <w:rFonts w:ascii="Times New Roman" w:hAnsi="Times New Roman"/>
          <w:sz w:val="28"/>
          <w:szCs w:val="28"/>
          <w:lang w:val="en-US"/>
        </w:rPr>
        <w:t>MEA</w:t>
      </w:r>
      <w:r w:rsidR="00DF19D2" w:rsidRPr="006177A4">
        <w:rPr>
          <w:rFonts w:ascii="Times New Roman" w:hAnsi="Times New Roman"/>
          <w:sz w:val="28"/>
          <w:szCs w:val="28"/>
          <w:lang w:val="en-US"/>
        </w:rPr>
        <w:t xml:space="preserve"> </w:t>
      </w:r>
      <w:r w:rsidR="00E112AE">
        <w:rPr>
          <w:rFonts w:ascii="Times New Roman" w:hAnsi="Times New Roman"/>
          <w:sz w:val="28"/>
          <w:szCs w:val="28"/>
          <w:lang w:val="en-US"/>
        </w:rPr>
        <w:t>to</w:t>
      </w:r>
      <w:r w:rsidR="00E112AE" w:rsidRPr="00E112AE">
        <w:rPr>
          <w:rFonts w:ascii="Times New Roman" w:hAnsi="Times New Roman"/>
          <w:sz w:val="28"/>
          <w:szCs w:val="28"/>
          <w:lang w:val="en-US"/>
        </w:rPr>
        <w:t xml:space="preserve"> total fasting</w:t>
      </w:r>
      <w:r w:rsidR="00DF19D2" w:rsidRPr="006177A4">
        <w:rPr>
          <w:rFonts w:ascii="Times New Roman" w:hAnsi="Times New Roman"/>
          <w:sz w:val="28"/>
          <w:szCs w:val="28"/>
          <w:lang w:val="en-US"/>
        </w:rPr>
        <w:t xml:space="preserve"> </w:t>
      </w:r>
      <w:r w:rsidR="00E112AE">
        <w:rPr>
          <w:rFonts w:ascii="Times New Roman" w:hAnsi="Times New Roman"/>
          <w:sz w:val="28"/>
          <w:szCs w:val="28"/>
          <w:lang w:val="en-US"/>
        </w:rPr>
        <w:t xml:space="preserve">GIT </w:t>
      </w:r>
      <w:r w:rsidR="00624E86">
        <w:rPr>
          <w:rFonts w:ascii="Times New Roman" w:hAnsi="Times New Roman"/>
          <w:sz w:val="28"/>
          <w:szCs w:val="28"/>
        </w:rPr>
        <w:t>М</w:t>
      </w:r>
      <w:r w:rsidR="00624E86" w:rsidRPr="00624E86">
        <w:rPr>
          <w:rFonts w:ascii="Times New Roman" w:hAnsi="Times New Roman"/>
          <w:sz w:val="28"/>
          <w:szCs w:val="28"/>
          <w:lang w:val="en-US"/>
        </w:rPr>
        <w:t>E</w:t>
      </w:r>
      <w:r w:rsidR="00DF19D2" w:rsidRPr="009A51E4">
        <w:rPr>
          <w:rFonts w:ascii="Times New Roman" w:hAnsi="Times New Roman"/>
          <w:sz w:val="28"/>
          <w:szCs w:val="28"/>
        </w:rPr>
        <w:t>А</w:t>
      </w:r>
      <w:r w:rsidR="00DF19D2" w:rsidRPr="006177A4">
        <w:rPr>
          <w:rFonts w:ascii="Times New Roman" w:hAnsi="Times New Roman"/>
          <w:sz w:val="28"/>
          <w:szCs w:val="28"/>
          <w:lang w:val="en-US"/>
        </w:rPr>
        <w:t xml:space="preserve"> (</w:t>
      </w:r>
      <w:r w:rsidR="00E112AE" w:rsidRPr="00E112AE">
        <w:rPr>
          <w:rFonts w:ascii="Times New Roman" w:hAnsi="Times New Roman"/>
          <w:sz w:val="28"/>
          <w:szCs w:val="28"/>
          <w:lang w:val="en-US"/>
        </w:rPr>
        <w:t>post</w:t>
      </w:r>
      <w:r w:rsidR="00E112AE">
        <w:rPr>
          <w:rFonts w:ascii="Times New Roman" w:hAnsi="Times New Roman"/>
          <w:sz w:val="28"/>
          <w:szCs w:val="28"/>
          <w:lang w:val="en-US"/>
        </w:rPr>
        <w:t>prandial</w:t>
      </w:r>
      <w:r w:rsidR="009836C5">
        <w:rPr>
          <w:rFonts w:ascii="Times New Roman" w:hAnsi="Times New Roman"/>
          <w:sz w:val="28"/>
          <w:szCs w:val="28"/>
          <w:lang w:val="en-US"/>
        </w:rPr>
        <w:t xml:space="preserve"> coefficient</w:t>
      </w:r>
      <w:r w:rsidR="00DF19D2" w:rsidRPr="006177A4">
        <w:rPr>
          <w:rFonts w:ascii="Times New Roman" w:hAnsi="Times New Roman"/>
          <w:sz w:val="28"/>
          <w:szCs w:val="28"/>
          <w:lang w:val="en-US"/>
        </w:rPr>
        <w:t xml:space="preserve"> – </w:t>
      </w:r>
      <w:r w:rsidR="009836C5" w:rsidRPr="00456230">
        <w:rPr>
          <w:rFonts w:ascii="Times New Roman" w:hAnsi="Times New Roman"/>
          <w:sz w:val="28"/>
          <w:szCs w:val="28"/>
          <w:lang w:val="en-US"/>
        </w:rPr>
        <w:t>PPC</w:t>
      </w:r>
      <w:r w:rsidR="00DF19D2" w:rsidRPr="006177A4">
        <w:rPr>
          <w:rFonts w:ascii="Times New Roman" w:hAnsi="Times New Roman"/>
          <w:sz w:val="28"/>
          <w:szCs w:val="28"/>
          <w:lang w:val="en-US"/>
        </w:rPr>
        <w:t xml:space="preserve">). </w:t>
      </w:r>
    </w:p>
    <w:p w:rsidR="00DF19D2" w:rsidRDefault="00456230" w:rsidP="00624E86">
      <w:pPr>
        <w:spacing w:after="0" w:line="360" w:lineRule="auto"/>
        <w:ind w:firstLine="709"/>
        <w:jc w:val="both"/>
        <w:rPr>
          <w:rFonts w:ascii="Times New Roman" w:hAnsi="Times New Roman"/>
          <w:sz w:val="28"/>
          <w:szCs w:val="28"/>
          <w:lang w:val="en-US"/>
        </w:rPr>
      </w:pPr>
      <w:r w:rsidRPr="0041623D">
        <w:rPr>
          <w:rFonts w:ascii="Times New Roman" w:hAnsi="Times New Roman"/>
          <w:sz w:val="28"/>
          <w:szCs w:val="28"/>
          <w:lang w:val="en-US"/>
        </w:rPr>
        <w:t>Statistical data processing</w:t>
      </w:r>
      <w:r w:rsidR="00DF19D2" w:rsidRPr="0041623D">
        <w:rPr>
          <w:rFonts w:ascii="Times New Roman" w:hAnsi="Times New Roman"/>
          <w:sz w:val="28"/>
          <w:szCs w:val="28"/>
          <w:lang w:val="en-US"/>
        </w:rPr>
        <w:t xml:space="preserve"> </w:t>
      </w:r>
      <w:r w:rsidR="0041623D" w:rsidRPr="0041623D">
        <w:rPr>
          <w:rFonts w:ascii="Times New Roman" w:hAnsi="Times New Roman"/>
          <w:sz w:val="28"/>
          <w:szCs w:val="28"/>
          <w:lang w:val="en-US"/>
        </w:rPr>
        <w:t>was performed using</w:t>
      </w:r>
      <w:r w:rsidR="00DF19D2" w:rsidRPr="0041623D">
        <w:rPr>
          <w:rFonts w:ascii="Times New Roman" w:hAnsi="Times New Roman"/>
          <w:sz w:val="28"/>
          <w:szCs w:val="28"/>
          <w:lang w:val="en-US"/>
        </w:rPr>
        <w:t xml:space="preserve"> </w:t>
      </w:r>
      <w:r w:rsidR="00624E86">
        <w:rPr>
          <w:rFonts w:ascii="Times New Roman" w:hAnsi="Times New Roman"/>
          <w:sz w:val="28"/>
          <w:szCs w:val="28"/>
          <w:lang w:val="en-US"/>
        </w:rPr>
        <w:t xml:space="preserve">the programme </w:t>
      </w:r>
      <w:r w:rsidR="00DF19D2" w:rsidRPr="009A51E4">
        <w:rPr>
          <w:rFonts w:ascii="Times New Roman" w:hAnsi="Times New Roman"/>
          <w:sz w:val="28"/>
          <w:szCs w:val="28"/>
          <w:lang w:val="en-US"/>
        </w:rPr>
        <w:t>SPSS</w:t>
      </w:r>
      <w:r w:rsidR="00DF19D2" w:rsidRPr="0041623D">
        <w:rPr>
          <w:rFonts w:ascii="Times New Roman" w:hAnsi="Times New Roman"/>
          <w:sz w:val="28"/>
          <w:szCs w:val="28"/>
          <w:lang w:val="en-US"/>
        </w:rPr>
        <w:t xml:space="preserve"> 17.0 (SPSS Inc., </w:t>
      </w:r>
      <w:r w:rsidR="0041623D" w:rsidRPr="0041623D">
        <w:rPr>
          <w:rFonts w:ascii="Times New Roman" w:hAnsi="Times New Roman"/>
          <w:sz w:val="28"/>
          <w:szCs w:val="28"/>
          <w:lang w:val="en-US"/>
        </w:rPr>
        <w:t>USA</w:t>
      </w:r>
      <w:r w:rsidR="00DF19D2" w:rsidRPr="0041623D">
        <w:rPr>
          <w:rFonts w:ascii="Times New Roman" w:hAnsi="Times New Roman"/>
          <w:sz w:val="28"/>
          <w:szCs w:val="28"/>
          <w:lang w:val="en-US"/>
        </w:rPr>
        <w:t xml:space="preserve">) </w:t>
      </w:r>
      <w:r w:rsidR="0041623D" w:rsidRPr="0041623D">
        <w:rPr>
          <w:rFonts w:ascii="Times New Roman" w:hAnsi="Times New Roman"/>
          <w:sz w:val="28"/>
          <w:szCs w:val="28"/>
          <w:lang w:val="en-US"/>
        </w:rPr>
        <w:t xml:space="preserve">with the help of Wilcoxon </w:t>
      </w:r>
      <w:r w:rsidR="0041623D">
        <w:rPr>
          <w:rFonts w:ascii="Times New Roman" w:hAnsi="Times New Roman"/>
          <w:sz w:val="28"/>
          <w:szCs w:val="28"/>
          <w:lang w:val="en-US"/>
        </w:rPr>
        <w:t>test</w:t>
      </w:r>
      <w:r w:rsidR="00DF19D2" w:rsidRPr="0041623D">
        <w:rPr>
          <w:rFonts w:ascii="Times New Roman" w:hAnsi="Times New Roman"/>
          <w:sz w:val="28"/>
          <w:szCs w:val="28"/>
          <w:lang w:val="en-US"/>
        </w:rPr>
        <w:t xml:space="preserve"> (</w:t>
      </w:r>
      <w:r w:rsidR="00624E86" w:rsidRPr="00624E86">
        <w:rPr>
          <w:rFonts w:ascii="Times New Roman" w:hAnsi="Times New Roman"/>
          <w:sz w:val="28"/>
          <w:szCs w:val="28"/>
          <w:lang w:val="en-US"/>
        </w:rPr>
        <w:t>f</w:t>
      </w:r>
      <w:r w:rsidR="00624E86">
        <w:rPr>
          <w:rFonts w:ascii="Times New Roman" w:hAnsi="Times New Roman"/>
          <w:sz w:val="28"/>
          <w:szCs w:val="28"/>
          <w:lang w:val="en-US"/>
        </w:rPr>
        <w:t>or paired observations</w:t>
      </w:r>
      <w:r w:rsidR="00DF19D2" w:rsidRPr="0041623D">
        <w:rPr>
          <w:rFonts w:ascii="Times New Roman" w:hAnsi="Times New Roman"/>
          <w:sz w:val="28"/>
          <w:szCs w:val="28"/>
          <w:lang w:val="en-US"/>
        </w:rPr>
        <w:t xml:space="preserve">) </w:t>
      </w:r>
      <w:r w:rsidR="00624E86" w:rsidRPr="00624E86">
        <w:rPr>
          <w:rFonts w:ascii="Times New Roman" w:hAnsi="Times New Roman"/>
          <w:sz w:val="28"/>
          <w:szCs w:val="28"/>
          <w:lang w:val="en-US"/>
        </w:rPr>
        <w:t>and Mann-Whitney</w:t>
      </w:r>
      <w:r w:rsidR="00624E86">
        <w:rPr>
          <w:rFonts w:ascii="Times New Roman" w:hAnsi="Times New Roman"/>
          <w:sz w:val="28"/>
          <w:szCs w:val="28"/>
          <w:lang w:val="en-US"/>
        </w:rPr>
        <w:t xml:space="preserve"> test </w:t>
      </w:r>
      <w:r w:rsidR="00DF19D2" w:rsidRPr="0041623D">
        <w:rPr>
          <w:rFonts w:ascii="Times New Roman" w:hAnsi="Times New Roman"/>
          <w:sz w:val="28"/>
          <w:szCs w:val="28"/>
          <w:lang w:val="en-US"/>
        </w:rPr>
        <w:t>(</w:t>
      </w:r>
      <w:r w:rsidR="00624E86" w:rsidRPr="00F95A2E">
        <w:rPr>
          <w:rFonts w:ascii="Times New Roman" w:hAnsi="Times New Roman"/>
          <w:sz w:val="28"/>
          <w:szCs w:val="28"/>
          <w:lang w:val="en-US"/>
        </w:rPr>
        <w:t>for non-paired observations</w:t>
      </w:r>
      <w:r w:rsidR="00DF19D2" w:rsidRPr="0041623D">
        <w:rPr>
          <w:rFonts w:ascii="Times New Roman" w:hAnsi="Times New Roman"/>
          <w:sz w:val="28"/>
          <w:szCs w:val="28"/>
          <w:lang w:val="en-US"/>
        </w:rPr>
        <w:t>)</w:t>
      </w:r>
      <w:r w:rsidR="00F95A2E">
        <w:rPr>
          <w:rFonts w:ascii="Times New Roman" w:hAnsi="Times New Roman"/>
          <w:sz w:val="28"/>
          <w:szCs w:val="28"/>
          <w:lang w:val="en-US"/>
        </w:rPr>
        <w:t>.</w:t>
      </w:r>
    </w:p>
    <w:p w:rsidR="00F95A2E" w:rsidRDefault="00F95A2E" w:rsidP="00624E86">
      <w:pPr>
        <w:spacing w:after="0" w:line="360" w:lineRule="auto"/>
        <w:ind w:firstLine="709"/>
        <w:jc w:val="both"/>
        <w:rPr>
          <w:rFonts w:ascii="Times New Roman" w:hAnsi="Times New Roman"/>
          <w:sz w:val="28"/>
          <w:szCs w:val="28"/>
          <w:lang w:val="en-US"/>
        </w:rPr>
      </w:pPr>
    </w:p>
    <w:p w:rsidR="00F95A2E" w:rsidRPr="00FF3C97" w:rsidRDefault="00F95A2E" w:rsidP="00F95A2E">
      <w:pPr>
        <w:rPr>
          <w:rFonts w:asciiTheme="majorBidi" w:hAnsiTheme="majorBidi" w:cstheme="majorBidi"/>
          <w:sz w:val="28"/>
          <w:szCs w:val="28"/>
          <w:lang w:val="en-US"/>
        </w:rPr>
      </w:pPr>
      <w:r w:rsidRPr="00FF3C97">
        <w:rPr>
          <w:rFonts w:asciiTheme="majorBidi" w:hAnsiTheme="majorBidi" w:cstheme="majorBidi"/>
          <w:sz w:val="28"/>
          <w:szCs w:val="28"/>
          <w:lang w:val="en-US"/>
        </w:rPr>
        <w:t xml:space="preserve">The dynamics of the </w:t>
      </w:r>
      <w:r>
        <w:rPr>
          <w:rFonts w:asciiTheme="majorBidi" w:hAnsiTheme="majorBidi" w:cstheme="majorBidi"/>
          <w:sz w:val="28"/>
          <w:szCs w:val="28"/>
          <w:lang w:val="en-US"/>
        </w:rPr>
        <w:t>GIT</w:t>
      </w:r>
      <w:r w:rsidRPr="00FF3C97">
        <w:rPr>
          <w:rFonts w:asciiTheme="majorBidi" w:hAnsiTheme="majorBidi" w:cstheme="majorBidi"/>
          <w:sz w:val="28"/>
          <w:szCs w:val="28"/>
          <w:lang w:val="en-US"/>
        </w:rPr>
        <w:t xml:space="preserve"> complaints in patients </w:t>
      </w:r>
      <w:r>
        <w:rPr>
          <w:rFonts w:asciiTheme="majorBidi" w:hAnsiTheme="majorBidi" w:cstheme="majorBidi"/>
          <w:sz w:val="28"/>
          <w:szCs w:val="28"/>
          <w:lang w:val="en-US"/>
        </w:rPr>
        <w:t xml:space="preserve">of the main </w:t>
      </w:r>
      <w:r w:rsidRPr="00FF3C97">
        <w:rPr>
          <w:rFonts w:asciiTheme="majorBidi" w:hAnsiTheme="majorBidi" w:cstheme="majorBidi"/>
          <w:sz w:val="28"/>
          <w:szCs w:val="28"/>
          <w:lang w:val="en-US"/>
        </w:rPr>
        <w:t>and control group on the scales of GSRS questionnaire</w:t>
      </w:r>
      <w:r>
        <w:rPr>
          <w:rFonts w:asciiTheme="majorBidi" w:hAnsiTheme="majorBidi" w:cstheme="majorBidi"/>
          <w:sz w:val="28"/>
          <w:szCs w:val="28"/>
          <w:lang w:val="en-US"/>
        </w:rPr>
        <w:t xml:space="preserve"> are</w:t>
      </w:r>
      <w:r w:rsidRPr="00FF3C97">
        <w:rPr>
          <w:rFonts w:asciiTheme="majorBidi" w:hAnsiTheme="majorBidi" w:cstheme="majorBidi"/>
          <w:sz w:val="28"/>
          <w:szCs w:val="28"/>
          <w:lang w:val="en-US"/>
        </w:rPr>
        <w:t xml:space="preserve"> </w:t>
      </w:r>
      <w:r>
        <w:rPr>
          <w:rFonts w:asciiTheme="majorBidi" w:hAnsiTheme="majorBidi" w:cstheme="majorBidi"/>
          <w:sz w:val="28"/>
          <w:szCs w:val="28"/>
          <w:lang w:val="en-US"/>
        </w:rPr>
        <w:t>presented in Table 1.</w:t>
      </w:r>
    </w:p>
    <w:p w:rsidR="00F95A2E" w:rsidRPr="00FF3C97" w:rsidRDefault="00F95A2E" w:rsidP="00F95A2E">
      <w:pPr>
        <w:rPr>
          <w:rFonts w:asciiTheme="majorBidi" w:hAnsiTheme="majorBidi" w:cstheme="majorBidi"/>
          <w:sz w:val="28"/>
          <w:szCs w:val="28"/>
          <w:lang w:val="en-US"/>
        </w:rPr>
      </w:pPr>
      <w:r>
        <w:rPr>
          <w:rFonts w:asciiTheme="majorBidi" w:hAnsiTheme="majorBidi" w:cstheme="majorBidi"/>
          <w:sz w:val="28"/>
          <w:szCs w:val="28"/>
          <w:lang w:val="en-US"/>
        </w:rPr>
        <w:t>No d</w:t>
      </w:r>
      <w:r w:rsidRPr="00FF3C97">
        <w:rPr>
          <w:rFonts w:asciiTheme="majorBidi" w:hAnsiTheme="majorBidi" w:cstheme="majorBidi"/>
          <w:sz w:val="28"/>
          <w:szCs w:val="28"/>
          <w:lang w:val="en-US"/>
        </w:rPr>
        <w:t>ifferences between the groups in relation to the dynamics of GSRS questionnaire scale value</w:t>
      </w:r>
      <w:r>
        <w:rPr>
          <w:rFonts w:asciiTheme="majorBidi" w:hAnsiTheme="majorBidi" w:cstheme="majorBidi"/>
          <w:sz w:val="28"/>
          <w:szCs w:val="28"/>
          <w:lang w:val="en-US"/>
        </w:rPr>
        <w:t>s</w:t>
      </w:r>
      <w:r w:rsidRPr="00FF3C97">
        <w:rPr>
          <w:rFonts w:asciiTheme="majorBidi" w:hAnsiTheme="majorBidi" w:cstheme="majorBidi"/>
          <w:sz w:val="28"/>
          <w:szCs w:val="28"/>
          <w:lang w:val="en-US"/>
        </w:rPr>
        <w:t xml:space="preserve"> </w:t>
      </w:r>
      <w:r>
        <w:rPr>
          <w:rFonts w:asciiTheme="majorBidi" w:hAnsiTheme="majorBidi" w:cstheme="majorBidi"/>
          <w:sz w:val="28"/>
          <w:szCs w:val="28"/>
          <w:lang w:val="en-US"/>
        </w:rPr>
        <w:t>were received (p&gt; 0.05).</w:t>
      </w:r>
    </w:p>
    <w:p w:rsidR="002A0386" w:rsidRPr="00FF3C97" w:rsidRDefault="002A0386" w:rsidP="002A0386">
      <w:pPr>
        <w:rPr>
          <w:rFonts w:asciiTheme="majorBidi" w:hAnsiTheme="majorBidi" w:cstheme="majorBidi"/>
          <w:sz w:val="28"/>
          <w:szCs w:val="28"/>
          <w:lang w:val="en-US"/>
        </w:rPr>
      </w:pPr>
      <w:r w:rsidRPr="00FF3C97">
        <w:rPr>
          <w:rFonts w:asciiTheme="majorBidi" w:hAnsiTheme="majorBidi" w:cstheme="majorBidi"/>
          <w:sz w:val="28"/>
          <w:szCs w:val="28"/>
          <w:lang w:val="en-US"/>
        </w:rPr>
        <w:t xml:space="preserve">In patients of the main group after treatment </w:t>
      </w:r>
      <w:r>
        <w:rPr>
          <w:rFonts w:asciiTheme="majorBidi" w:hAnsiTheme="majorBidi" w:cstheme="majorBidi"/>
          <w:sz w:val="28"/>
          <w:szCs w:val="28"/>
          <w:lang w:val="en-US"/>
        </w:rPr>
        <w:t xml:space="preserve">with the </w:t>
      </w:r>
      <w:r w:rsidRPr="00FF3C97">
        <w:rPr>
          <w:rFonts w:asciiTheme="majorBidi" w:hAnsiTheme="majorBidi" w:cstheme="majorBidi"/>
          <w:sz w:val="28"/>
          <w:szCs w:val="28"/>
          <w:lang w:val="en-US"/>
        </w:rPr>
        <w:t xml:space="preserve">study </w:t>
      </w:r>
      <w:r>
        <w:rPr>
          <w:rFonts w:asciiTheme="majorBidi" w:hAnsiTheme="majorBidi" w:cstheme="majorBidi"/>
          <w:sz w:val="28"/>
          <w:szCs w:val="28"/>
          <w:lang w:val="en-US"/>
        </w:rPr>
        <w:t>medication,</w:t>
      </w:r>
      <w:r w:rsidRPr="00FF3C97">
        <w:rPr>
          <w:rFonts w:asciiTheme="majorBidi" w:hAnsiTheme="majorBidi" w:cstheme="majorBidi"/>
          <w:sz w:val="28"/>
          <w:szCs w:val="28"/>
          <w:lang w:val="en-US"/>
        </w:rPr>
        <w:t xml:space="preserve"> a statistically significant reduction</w:t>
      </w:r>
      <w:r>
        <w:rPr>
          <w:rFonts w:asciiTheme="majorBidi" w:hAnsiTheme="majorBidi" w:cstheme="majorBidi"/>
          <w:sz w:val="28"/>
          <w:szCs w:val="28"/>
          <w:lang w:val="en-US"/>
        </w:rPr>
        <w:t xml:space="preserve"> was</w:t>
      </w:r>
      <w:r w:rsidRPr="00FF3C97">
        <w:rPr>
          <w:rFonts w:asciiTheme="majorBidi" w:hAnsiTheme="majorBidi" w:cstheme="majorBidi"/>
          <w:sz w:val="28"/>
          <w:szCs w:val="28"/>
          <w:lang w:val="en-US"/>
        </w:rPr>
        <w:t xml:space="preserve"> achieved in the severity of complaints on the scales of abdominal pain, diarrhea syndrome, dyspeptic syndrome, and on the scale </w:t>
      </w:r>
      <w:r>
        <w:rPr>
          <w:rFonts w:asciiTheme="majorBidi" w:hAnsiTheme="majorBidi" w:cstheme="majorBidi"/>
          <w:sz w:val="28"/>
          <w:szCs w:val="28"/>
          <w:lang w:val="en-US"/>
        </w:rPr>
        <w:t>of the total score</w:t>
      </w:r>
      <w:r w:rsidRPr="00FF3C97">
        <w:rPr>
          <w:rFonts w:asciiTheme="majorBidi" w:hAnsiTheme="majorBidi" w:cstheme="majorBidi"/>
          <w:sz w:val="28"/>
          <w:szCs w:val="28"/>
          <w:lang w:val="en-US"/>
        </w:rPr>
        <w:t xml:space="preserve">. Patients in the control group after therapy with the </w:t>
      </w:r>
      <w:r>
        <w:rPr>
          <w:rFonts w:asciiTheme="majorBidi" w:hAnsiTheme="majorBidi" w:cstheme="majorBidi"/>
          <w:sz w:val="28"/>
          <w:szCs w:val="28"/>
          <w:lang w:val="en-US"/>
        </w:rPr>
        <w:t>reference drug</w:t>
      </w:r>
      <w:r w:rsidRPr="00FF3C97">
        <w:rPr>
          <w:rFonts w:asciiTheme="majorBidi" w:hAnsiTheme="majorBidi" w:cstheme="majorBidi"/>
          <w:sz w:val="28"/>
          <w:szCs w:val="28"/>
          <w:lang w:val="en-US"/>
        </w:rPr>
        <w:t xml:space="preserve"> the intensity of complaints significantly decreased </w:t>
      </w:r>
      <w:r>
        <w:rPr>
          <w:rFonts w:asciiTheme="majorBidi" w:hAnsiTheme="majorBidi" w:cstheme="majorBidi"/>
          <w:sz w:val="28"/>
          <w:szCs w:val="28"/>
          <w:lang w:val="en-US"/>
        </w:rPr>
        <w:t>for</w:t>
      </w:r>
      <w:r w:rsidRPr="00FF3C97">
        <w:rPr>
          <w:rFonts w:asciiTheme="majorBidi" w:hAnsiTheme="majorBidi" w:cstheme="majorBidi"/>
          <w:sz w:val="28"/>
          <w:szCs w:val="28"/>
          <w:lang w:val="en-US"/>
        </w:rPr>
        <w:t xml:space="preserve"> all </w:t>
      </w:r>
      <w:r>
        <w:rPr>
          <w:rFonts w:asciiTheme="majorBidi" w:hAnsiTheme="majorBidi" w:cstheme="majorBidi"/>
          <w:sz w:val="28"/>
          <w:szCs w:val="28"/>
          <w:lang w:val="en-US"/>
        </w:rPr>
        <w:t xml:space="preserve">the </w:t>
      </w:r>
      <w:r w:rsidRPr="00FF3C97">
        <w:rPr>
          <w:rFonts w:asciiTheme="majorBidi" w:hAnsiTheme="majorBidi" w:cstheme="majorBidi"/>
          <w:sz w:val="28"/>
          <w:szCs w:val="28"/>
          <w:lang w:val="en-US"/>
        </w:rPr>
        <w:t>scales: abdominal pain, reflux s</w:t>
      </w:r>
      <w:r>
        <w:rPr>
          <w:rFonts w:asciiTheme="majorBidi" w:hAnsiTheme="majorBidi" w:cstheme="majorBidi"/>
          <w:sz w:val="28"/>
          <w:szCs w:val="28"/>
          <w:lang w:val="en-US"/>
        </w:rPr>
        <w:t>yndrome, diarrhea syndrome, constipation and on the total score</w:t>
      </w:r>
      <w:r w:rsidRPr="00FF3C97">
        <w:rPr>
          <w:rFonts w:asciiTheme="majorBidi" w:hAnsiTheme="majorBidi" w:cstheme="majorBidi"/>
          <w:sz w:val="28"/>
          <w:szCs w:val="28"/>
          <w:lang w:val="en-US"/>
        </w:rPr>
        <w:t xml:space="preserve"> scale</w:t>
      </w:r>
      <w:r>
        <w:rPr>
          <w:rFonts w:asciiTheme="majorBidi" w:hAnsiTheme="majorBidi" w:cstheme="majorBidi"/>
          <w:sz w:val="28"/>
          <w:szCs w:val="28"/>
          <w:lang w:val="en-US"/>
        </w:rPr>
        <w:t>.</w:t>
      </w:r>
    </w:p>
    <w:p w:rsidR="00EE0271" w:rsidRPr="00FF3C97" w:rsidRDefault="00EE0271" w:rsidP="00EE0271">
      <w:pPr>
        <w:jc w:val="right"/>
        <w:rPr>
          <w:rFonts w:asciiTheme="majorBidi" w:hAnsiTheme="majorBidi" w:cstheme="majorBidi"/>
          <w:sz w:val="28"/>
          <w:szCs w:val="28"/>
          <w:lang w:val="en-US"/>
        </w:rPr>
      </w:pPr>
      <w:r>
        <w:rPr>
          <w:rFonts w:asciiTheme="majorBidi" w:hAnsiTheme="majorBidi" w:cstheme="majorBidi"/>
          <w:sz w:val="28"/>
          <w:szCs w:val="28"/>
          <w:lang w:val="en-US"/>
        </w:rPr>
        <w:t>Table 1</w:t>
      </w:r>
    </w:p>
    <w:p w:rsidR="00EE0271" w:rsidRPr="0076289F" w:rsidRDefault="00EE0271" w:rsidP="00EE0271">
      <w:pPr>
        <w:jc w:val="center"/>
        <w:rPr>
          <w:rFonts w:asciiTheme="majorBidi" w:hAnsiTheme="majorBidi" w:cstheme="majorBidi"/>
          <w:b/>
          <w:bCs/>
          <w:sz w:val="28"/>
          <w:szCs w:val="28"/>
          <w:lang w:val="en-US"/>
        </w:rPr>
      </w:pPr>
      <w:r w:rsidRPr="0076289F">
        <w:rPr>
          <w:rFonts w:asciiTheme="majorBidi" w:hAnsiTheme="majorBidi" w:cstheme="majorBidi"/>
          <w:b/>
          <w:bCs/>
          <w:sz w:val="28"/>
          <w:szCs w:val="28"/>
          <w:lang w:val="en-US"/>
        </w:rPr>
        <w:t xml:space="preserve">Dynamics of expression of complaints in the study and control groups according to GSRS </w:t>
      </w:r>
      <w:r>
        <w:rPr>
          <w:rFonts w:asciiTheme="majorBidi" w:hAnsiTheme="majorBidi" w:cstheme="majorBidi"/>
          <w:b/>
          <w:bCs/>
          <w:sz w:val="28"/>
          <w:szCs w:val="28"/>
          <w:lang w:val="en-US"/>
        </w:rPr>
        <w:t>questionnaire</w:t>
      </w:r>
    </w:p>
    <w:p w:rsidR="00F95A2E" w:rsidRPr="0041623D" w:rsidRDefault="00F95A2E" w:rsidP="00624E86">
      <w:pPr>
        <w:spacing w:after="0" w:line="360" w:lineRule="auto"/>
        <w:ind w:firstLine="709"/>
        <w:jc w:val="both"/>
        <w:rPr>
          <w:rFonts w:ascii="Times New Roman" w:hAnsi="Times New Roman"/>
          <w:sz w:val="28"/>
          <w:szCs w:val="28"/>
          <w:lang w:val="en-US"/>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0"/>
        <w:gridCol w:w="1457"/>
        <w:gridCol w:w="1134"/>
        <w:gridCol w:w="1136"/>
        <w:gridCol w:w="1274"/>
        <w:gridCol w:w="1141"/>
        <w:gridCol w:w="1552"/>
      </w:tblGrid>
      <w:tr w:rsidR="004A188B" w:rsidRPr="0092758B" w:rsidTr="00510151">
        <w:trPr>
          <w:trHeight w:val="331"/>
          <w:tblHeader/>
        </w:trPr>
        <w:tc>
          <w:tcPr>
            <w:tcW w:w="935" w:type="pct"/>
            <w:vMerge w:val="restart"/>
            <w:noWrap/>
            <w:vAlign w:val="center"/>
          </w:tcPr>
          <w:p w:rsidR="004A188B" w:rsidRPr="000971D3" w:rsidRDefault="004A188B" w:rsidP="00510151">
            <w:pPr>
              <w:jc w:val="center"/>
              <w:rPr>
                <w:sz w:val="24"/>
                <w:szCs w:val="24"/>
                <w:lang w:val="en-US"/>
              </w:rPr>
            </w:pPr>
            <w:r>
              <w:rPr>
                <w:sz w:val="24"/>
                <w:szCs w:val="24"/>
                <w:lang w:val="en-US"/>
              </w:rPr>
              <w:lastRenderedPageBreak/>
              <w:t>Scale</w:t>
            </w:r>
          </w:p>
        </w:tc>
        <w:tc>
          <w:tcPr>
            <w:tcW w:w="770" w:type="pct"/>
            <w:vMerge w:val="restart"/>
            <w:noWrap/>
            <w:vAlign w:val="center"/>
          </w:tcPr>
          <w:p w:rsidR="004A188B" w:rsidRPr="00786F46" w:rsidRDefault="004A188B" w:rsidP="00510151">
            <w:pPr>
              <w:ind w:right="-13"/>
              <w:jc w:val="center"/>
              <w:rPr>
                <w:sz w:val="24"/>
                <w:szCs w:val="24"/>
                <w:lang w:val="en-US"/>
              </w:rPr>
            </w:pPr>
            <w:r>
              <w:rPr>
                <w:sz w:val="24"/>
                <w:szCs w:val="24"/>
                <w:lang w:val="en-US"/>
              </w:rPr>
              <w:t>Time</w:t>
            </w:r>
            <w:r w:rsidRPr="00786F46">
              <w:rPr>
                <w:sz w:val="24"/>
                <w:szCs w:val="24"/>
                <w:lang w:val="en-US"/>
              </w:rPr>
              <w:t xml:space="preserve"> </w:t>
            </w:r>
            <w:r>
              <w:rPr>
                <w:sz w:val="24"/>
                <w:szCs w:val="24"/>
                <w:lang w:val="en-US"/>
              </w:rPr>
              <w:t>of</w:t>
            </w:r>
            <w:r w:rsidRPr="00786F46">
              <w:rPr>
                <w:sz w:val="24"/>
                <w:szCs w:val="24"/>
                <w:lang w:val="en-US"/>
              </w:rPr>
              <w:t xml:space="preserve"> </w:t>
            </w:r>
            <w:r>
              <w:rPr>
                <w:sz w:val="24"/>
                <w:szCs w:val="24"/>
                <w:lang w:val="en-US"/>
              </w:rPr>
              <w:t>observation</w:t>
            </w:r>
            <w:r w:rsidRPr="00786F46">
              <w:rPr>
                <w:sz w:val="24"/>
                <w:szCs w:val="24"/>
                <w:lang w:val="en-US"/>
              </w:rPr>
              <w:t xml:space="preserve"> (</w:t>
            </w:r>
            <w:r>
              <w:rPr>
                <w:sz w:val="24"/>
                <w:szCs w:val="24"/>
                <w:lang w:val="en-US"/>
              </w:rPr>
              <w:t>beginning</w:t>
            </w:r>
            <w:r w:rsidRPr="00786F46">
              <w:rPr>
                <w:sz w:val="24"/>
                <w:szCs w:val="24"/>
                <w:lang w:val="en-US"/>
              </w:rPr>
              <w:t xml:space="preserve"> / </w:t>
            </w:r>
            <w:r>
              <w:rPr>
                <w:sz w:val="24"/>
                <w:szCs w:val="24"/>
                <w:lang w:val="en-US"/>
              </w:rPr>
              <w:t>end of treatment</w:t>
            </w:r>
            <w:r w:rsidRPr="00786F46">
              <w:rPr>
                <w:sz w:val="24"/>
                <w:szCs w:val="24"/>
                <w:lang w:val="en-US"/>
              </w:rPr>
              <w:t>)</w:t>
            </w:r>
          </w:p>
        </w:tc>
        <w:tc>
          <w:tcPr>
            <w:tcW w:w="2475" w:type="pct"/>
            <w:gridSpan w:val="4"/>
            <w:noWrap/>
            <w:vAlign w:val="center"/>
          </w:tcPr>
          <w:p w:rsidR="004A188B" w:rsidRPr="00A26ECE" w:rsidRDefault="004A188B" w:rsidP="00510151">
            <w:pPr>
              <w:jc w:val="center"/>
              <w:rPr>
                <w:sz w:val="24"/>
                <w:szCs w:val="24"/>
                <w:lang w:val="en-US"/>
              </w:rPr>
            </w:pPr>
            <w:r>
              <w:rPr>
                <w:sz w:val="24"/>
                <w:szCs w:val="24"/>
                <w:lang w:val="en-US"/>
              </w:rPr>
              <w:t>Number of patients</w:t>
            </w:r>
            <w:r w:rsidRPr="00A26ECE">
              <w:rPr>
                <w:sz w:val="24"/>
                <w:szCs w:val="24"/>
                <w:lang w:val="en-US"/>
              </w:rPr>
              <w:t xml:space="preserve">, </w:t>
            </w:r>
            <w:r>
              <w:rPr>
                <w:sz w:val="24"/>
                <w:szCs w:val="24"/>
                <w:lang w:val="en-US"/>
              </w:rPr>
              <w:t>abs</w:t>
            </w:r>
            <w:r w:rsidRPr="00A26ECE">
              <w:rPr>
                <w:sz w:val="24"/>
                <w:szCs w:val="24"/>
                <w:lang w:val="en-US"/>
              </w:rPr>
              <w:t>. (% of )</w:t>
            </w:r>
          </w:p>
        </w:tc>
        <w:tc>
          <w:tcPr>
            <w:tcW w:w="820" w:type="pct"/>
            <w:vMerge w:val="restart"/>
            <w:vAlign w:val="center"/>
          </w:tcPr>
          <w:p w:rsidR="004A188B" w:rsidRPr="00A26ECE" w:rsidRDefault="004A188B" w:rsidP="00510151">
            <w:pPr>
              <w:jc w:val="center"/>
              <w:rPr>
                <w:sz w:val="24"/>
                <w:szCs w:val="24"/>
                <w:lang w:val="en-US"/>
              </w:rPr>
            </w:pPr>
            <w:r>
              <w:rPr>
                <w:sz w:val="24"/>
                <w:szCs w:val="24"/>
                <w:lang w:val="en-US"/>
              </w:rPr>
              <w:t>Number of patients</w:t>
            </w:r>
            <w:r w:rsidRPr="00A26ECE">
              <w:rPr>
                <w:sz w:val="24"/>
                <w:szCs w:val="24"/>
                <w:lang w:val="en-US"/>
              </w:rPr>
              <w:t xml:space="preserve">, </w:t>
            </w:r>
            <w:r>
              <w:rPr>
                <w:sz w:val="24"/>
                <w:szCs w:val="24"/>
                <w:lang w:val="en-US"/>
              </w:rPr>
              <w:t>abs</w:t>
            </w:r>
            <w:r w:rsidRPr="00A26ECE">
              <w:rPr>
                <w:sz w:val="24"/>
                <w:szCs w:val="24"/>
                <w:lang w:val="en-US"/>
              </w:rPr>
              <w:t>. (% of )</w:t>
            </w:r>
          </w:p>
        </w:tc>
      </w:tr>
      <w:tr w:rsidR="004A188B" w:rsidRPr="00A67D37" w:rsidTr="00510151">
        <w:trPr>
          <w:trHeight w:val="701"/>
          <w:tblHeader/>
        </w:trPr>
        <w:tc>
          <w:tcPr>
            <w:tcW w:w="935" w:type="pct"/>
            <w:vMerge/>
            <w:noWrap/>
            <w:vAlign w:val="center"/>
          </w:tcPr>
          <w:p w:rsidR="004A188B" w:rsidRPr="002D6F53" w:rsidRDefault="004A188B" w:rsidP="00510151">
            <w:pPr>
              <w:jc w:val="center"/>
              <w:rPr>
                <w:lang w:val="en-US"/>
              </w:rPr>
            </w:pPr>
          </w:p>
        </w:tc>
        <w:tc>
          <w:tcPr>
            <w:tcW w:w="770" w:type="pct"/>
            <w:vMerge/>
            <w:noWrap/>
            <w:vAlign w:val="center"/>
          </w:tcPr>
          <w:p w:rsidR="004A188B" w:rsidRPr="002D6F53" w:rsidRDefault="004A188B" w:rsidP="00510151">
            <w:pPr>
              <w:ind w:right="-13"/>
              <w:jc w:val="center"/>
              <w:rPr>
                <w:lang w:val="en-US"/>
              </w:rPr>
            </w:pPr>
          </w:p>
        </w:tc>
        <w:tc>
          <w:tcPr>
            <w:tcW w:w="1199" w:type="pct"/>
            <w:gridSpan w:val="2"/>
            <w:noWrap/>
            <w:vAlign w:val="center"/>
          </w:tcPr>
          <w:p w:rsidR="004A188B" w:rsidRPr="00A67D37" w:rsidRDefault="004A188B" w:rsidP="00510151">
            <w:pPr>
              <w:ind w:right="-13"/>
              <w:jc w:val="center"/>
              <w:rPr>
                <w:sz w:val="24"/>
                <w:szCs w:val="24"/>
              </w:rPr>
            </w:pPr>
            <w:r>
              <w:rPr>
                <w:sz w:val="24"/>
                <w:szCs w:val="24"/>
                <w:lang w:val="en-US"/>
              </w:rPr>
              <w:t>Main group</w:t>
            </w:r>
            <w:r w:rsidRPr="00A67D37">
              <w:rPr>
                <w:sz w:val="24"/>
                <w:szCs w:val="24"/>
              </w:rPr>
              <w:t xml:space="preserve">, </w:t>
            </w:r>
            <w:r w:rsidRPr="00A67D37">
              <w:rPr>
                <w:sz w:val="24"/>
                <w:szCs w:val="24"/>
                <w:lang w:val="en-US"/>
              </w:rPr>
              <w:t>n=</w:t>
            </w:r>
            <w:r w:rsidRPr="00A67D37">
              <w:rPr>
                <w:sz w:val="24"/>
                <w:szCs w:val="24"/>
              </w:rPr>
              <w:t>15</w:t>
            </w:r>
          </w:p>
        </w:tc>
        <w:tc>
          <w:tcPr>
            <w:tcW w:w="1276" w:type="pct"/>
            <w:gridSpan w:val="2"/>
            <w:vAlign w:val="center"/>
          </w:tcPr>
          <w:p w:rsidR="004A188B" w:rsidRPr="00A67D37" w:rsidRDefault="004A188B" w:rsidP="00510151">
            <w:pPr>
              <w:ind w:right="-13"/>
              <w:jc w:val="center"/>
              <w:rPr>
                <w:sz w:val="24"/>
                <w:szCs w:val="24"/>
              </w:rPr>
            </w:pPr>
            <w:r>
              <w:rPr>
                <w:sz w:val="24"/>
                <w:szCs w:val="24"/>
                <w:lang w:val="en-US"/>
              </w:rPr>
              <w:t>Main group</w:t>
            </w:r>
            <w:r w:rsidRPr="00A67D37">
              <w:rPr>
                <w:sz w:val="24"/>
                <w:szCs w:val="24"/>
              </w:rPr>
              <w:t xml:space="preserve">, </w:t>
            </w:r>
            <w:r w:rsidRPr="00A67D37">
              <w:rPr>
                <w:sz w:val="24"/>
                <w:szCs w:val="24"/>
                <w:lang w:val="en-US"/>
              </w:rPr>
              <w:t>n=</w:t>
            </w:r>
            <w:r w:rsidRPr="00A67D37">
              <w:rPr>
                <w:sz w:val="24"/>
                <w:szCs w:val="24"/>
              </w:rPr>
              <w:t>15</w:t>
            </w:r>
          </w:p>
        </w:tc>
        <w:tc>
          <w:tcPr>
            <w:tcW w:w="820" w:type="pct"/>
            <w:vMerge/>
            <w:vAlign w:val="center"/>
          </w:tcPr>
          <w:p w:rsidR="004A188B" w:rsidRPr="00A67D37" w:rsidRDefault="004A188B" w:rsidP="00510151">
            <w:pPr>
              <w:ind w:right="-13"/>
              <w:jc w:val="center"/>
            </w:pPr>
          </w:p>
        </w:tc>
      </w:tr>
      <w:tr w:rsidR="004A188B" w:rsidRPr="0092758B" w:rsidTr="00510151">
        <w:trPr>
          <w:trHeight w:val="413"/>
          <w:tblHeader/>
        </w:trPr>
        <w:tc>
          <w:tcPr>
            <w:tcW w:w="935" w:type="pct"/>
            <w:vMerge/>
            <w:vAlign w:val="center"/>
          </w:tcPr>
          <w:p w:rsidR="004A188B" w:rsidRPr="00A67D37" w:rsidRDefault="004A188B" w:rsidP="00510151">
            <w:pPr>
              <w:ind w:right="-13"/>
            </w:pPr>
          </w:p>
        </w:tc>
        <w:tc>
          <w:tcPr>
            <w:tcW w:w="770" w:type="pct"/>
            <w:vMerge/>
            <w:noWrap/>
            <w:vAlign w:val="center"/>
          </w:tcPr>
          <w:p w:rsidR="004A188B" w:rsidRPr="00A67D37" w:rsidRDefault="004A188B" w:rsidP="00510151">
            <w:pPr>
              <w:ind w:right="-13"/>
              <w:jc w:val="center"/>
            </w:pPr>
          </w:p>
        </w:tc>
        <w:tc>
          <w:tcPr>
            <w:tcW w:w="599" w:type="pct"/>
            <w:noWrap/>
            <w:vAlign w:val="center"/>
          </w:tcPr>
          <w:p w:rsidR="004A188B" w:rsidRPr="00A67D37" w:rsidRDefault="004A188B" w:rsidP="00510151">
            <w:pPr>
              <w:ind w:right="-13"/>
              <w:jc w:val="center"/>
              <w:rPr>
                <w:lang w:val="en-US"/>
              </w:rPr>
            </w:pPr>
            <w:r w:rsidRPr="00A67D37">
              <w:rPr>
                <w:lang w:val="en-US"/>
              </w:rPr>
              <w:t>Me</w:t>
            </w:r>
          </w:p>
          <w:p w:rsidR="004A188B" w:rsidRPr="00A67D37" w:rsidRDefault="004A188B" w:rsidP="00510151">
            <w:pPr>
              <w:ind w:right="-13"/>
              <w:jc w:val="center"/>
            </w:pPr>
            <w:r w:rsidRPr="00A67D37">
              <w:t>(</w:t>
            </w:r>
            <w:r w:rsidRPr="00A67D37">
              <w:rPr>
                <w:lang w:val="en-US"/>
              </w:rPr>
              <w:t>Q</w:t>
            </w:r>
            <w:r w:rsidRPr="00A67D37">
              <w:rPr>
                <w:vertAlign w:val="subscript"/>
                <w:lang w:val="en-US"/>
              </w:rPr>
              <w:t>1</w:t>
            </w:r>
            <w:r w:rsidRPr="00A67D37">
              <w:t xml:space="preserve">; </w:t>
            </w:r>
            <w:r w:rsidRPr="00A67D37">
              <w:rPr>
                <w:lang w:val="en-US"/>
              </w:rPr>
              <w:t>Q</w:t>
            </w:r>
            <w:r w:rsidRPr="00A67D37">
              <w:rPr>
                <w:vertAlign w:val="subscript"/>
                <w:lang w:val="en-US"/>
              </w:rPr>
              <w:t>3</w:t>
            </w:r>
            <w:r w:rsidRPr="00A67D37">
              <w:t>)</w:t>
            </w:r>
          </w:p>
        </w:tc>
        <w:tc>
          <w:tcPr>
            <w:tcW w:w="600" w:type="pct"/>
            <w:vAlign w:val="center"/>
          </w:tcPr>
          <w:p w:rsidR="004A188B" w:rsidRPr="002D6F53" w:rsidRDefault="004A188B" w:rsidP="00510151">
            <w:pPr>
              <w:ind w:right="-13"/>
              <w:jc w:val="center"/>
              <w:rPr>
                <w:lang w:val="en-US"/>
              </w:rPr>
            </w:pPr>
            <w:r>
              <w:rPr>
                <w:lang w:val="en-US"/>
              </w:rPr>
              <w:t>Difference of significance within a group, p</w:t>
            </w:r>
          </w:p>
        </w:tc>
        <w:tc>
          <w:tcPr>
            <w:tcW w:w="673" w:type="pct"/>
            <w:vAlign w:val="center"/>
          </w:tcPr>
          <w:p w:rsidR="004A188B" w:rsidRPr="00A67D37" w:rsidRDefault="004A188B" w:rsidP="00510151">
            <w:pPr>
              <w:ind w:right="-13"/>
              <w:jc w:val="center"/>
              <w:rPr>
                <w:lang w:val="en-US"/>
              </w:rPr>
            </w:pPr>
            <w:r w:rsidRPr="00A67D37">
              <w:rPr>
                <w:lang w:val="en-US"/>
              </w:rPr>
              <w:t>Me</w:t>
            </w:r>
          </w:p>
          <w:p w:rsidR="004A188B" w:rsidRPr="00A67D37" w:rsidRDefault="004A188B" w:rsidP="00510151">
            <w:pPr>
              <w:ind w:right="-13"/>
              <w:jc w:val="center"/>
              <w:rPr>
                <w:lang w:val="en-US"/>
              </w:rPr>
            </w:pPr>
            <w:r w:rsidRPr="00A67D37">
              <w:t>(</w:t>
            </w:r>
            <w:r w:rsidRPr="00A67D37">
              <w:rPr>
                <w:lang w:val="en-US"/>
              </w:rPr>
              <w:t>Q</w:t>
            </w:r>
            <w:r w:rsidRPr="00A67D37">
              <w:rPr>
                <w:vertAlign w:val="subscript"/>
                <w:lang w:val="en-US"/>
              </w:rPr>
              <w:t>1</w:t>
            </w:r>
            <w:r w:rsidRPr="00A67D37">
              <w:t xml:space="preserve">; </w:t>
            </w:r>
            <w:r w:rsidRPr="00A67D37">
              <w:rPr>
                <w:lang w:val="en-US"/>
              </w:rPr>
              <w:t>Q</w:t>
            </w:r>
            <w:r w:rsidRPr="00A67D37">
              <w:rPr>
                <w:vertAlign w:val="subscript"/>
                <w:lang w:val="en-US"/>
              </w:rPr>
              <w:t>3</w:t>
            </w:r>
            <w:r w:rsidRPr="00A67D37">
              <w:t>)</w:t>
            </w:r>
          </w:p>
        </w:tc>
        <w:tc>
          <w:tcPr>
            <w:tcW w:w="603" w:type="pct"/>
            <w:vAlign w:val="center"/>
          </w:tcPr>
          <w:p w:rsidR="004A188B" w:rsidRPr="002D6F53" w:rsidRDefault="004A188B" w:rsidP="00510151">
            <w:pPr>
              <w:ind w:right="-13"/>
              <w:jc w:val="center"/>
              <w:rPr>
                <w:lang w:val="en-US"/>
              </w:rPr>
            </w:pPr>
            <w:r>
              <w:rPr>
                <w:lang w:val="en-US"/>
              </w:rPr>
              <w:t>Difference of significance within a group, p</w:t>
            </w:r>
          </w:p>
        </w:tc>
        <w:tc>
          <w:tcPr>
            <w:tcW w:w="820" w:type="pct"/>
            <w:vMerge/>
            <w:vAlign w:val="center"/>
          </w:tcPr>
          <w:p w:rsidR="004A188B" w:rsidRPr="002D6F53" w:rsidRDefault="004A188B" w:rsidP="00510151">
            <w:pPr>
              <w:ind w:right="-13"/>
              <w:jc w:val="center"/>
              <w:rPr>
                <w:lang w:val="en-US"/>
              </w:rPr>
            </w:pPr>
          </w:p>
        </w:tc>
      </w:tr>
      <w:tr w:rsidR="004A188B" w:rsidRPr="00A67D37" w:rsidTr="00510151">
        <w:trPr>
          <w:cantSplit/>
          <w:trHeight w:val="413"/>
        </w:trPr>
        <w:tc>
          <w:tcPr>
            <w:tcW w:w="935" w:type="pct"/>
            <w:vMerge w:val="restart"/>
            <w:vAlign w:val="center"/>
          </w:tcPr>
          <w:p w:rsidR="004A188B" w:rsidRPr="001A15FA" w:rsidRDefault="004A188B" w:rsidP="00510151">
            <w:pPr>
              <w:ind w:right="-13"/>
              <w:rPr>
                <w:lang w:val="en-US"/>
              </w:rPr>
            </w:pPr>
            <w:r>
              <w:rPr>
                <w:lang w:val="en-US"/>
              </w:rPr>
              <w:t>Abdominal pain</w:t>
            </w:r>
          </w:p>
        </w:tc>
        <w:tc>
          <w:tcPr>
            <w:tcW w:w="770" w:type="pct"/>
            <w:noWrap/>
            <w:vAlign w:val="center"/>
          </w:tcPr>
          <w:p w:rsidR="004A188B" w:rsidRPr="00D4626F" w:rsidRDefault="004A188B" w:rsidP="00510151">
            <w:pPr>
              <w:ind w:right="-13"/>
              <w:jc w:val="center"/>
              <w:rPr>
                <w:lang w:val="de-AT"/>
              </w:rPr>
            </w:pPr>
            <w:r>
              <w:rPr>
                <w:lang w:val="de-AT"/>
              </w:rPr>
              <w:t>beginning</w:t>
            </w:r>
          </w:p>
        </w:tc>
        <w:tc>
          <w:tcPr>
            <w:tcW w:w="599" w:type="pct"/>
            <w:noWrap/>
            <w:vAlign w:val="center"/>
          </w:tcPr>
          <w:p w:rsidR="004A188B" w:rsidRPr="00A67D37" w:rsidRDefault="004A188B" w:rsidP="00510151">
            <w:pPr>
              <w:ind w:right="-13"/>
              <w:jc w:val="center"/>
            </w:pPr>
            <w:r w:rsidRPr="00A67D37">
              <w:t>5</w:t>
            </w:r>
          </w:p>
          <w:p w:rsidR="004A188B" w:rsidRPr="00A67D37" w:rsidRDefault="004A188B" w:rsidP="00510151">
            <w:pPr>
              <w:ind w:right="-13"/>
              <w:jc w:val="center"/>
            </w:pPr>
            <w:r w:rsidRPr="00A67D37">
              <w:t>(5; 7,5)</w:t>
            </w:r>
          </w:p>
        </w:tc>
        <w:tc>
          <w:tcPr>
            <w:tcW w:w="600" w:type="pct"/>
            <w:vMerge w:val="restart"/>
            <w:vAlign w:val="center"/>
          </w:tcPr>
          <w:p w:rsidR="004A188B" w:rsidRPr="00A67D37" w:rsidRDefault="004A188B" w:rsidP="00510151">
            <w:pPr>
              <w:ind w:right="-13"/>
              <w:jc w:val="center"/>
            </w:pPr>
            <w:r w:rsidRPr="00A67D37">
              <w:t>0,003</w:t>
            </w:r>
          </w:p>
        </w:tc>
        <w:tc>
          <w:tcPr>
            <w:tcW w:w="673" w:type="pct"/>
            <w:vAlign w:val="center"/>
          </w:tcPr>
          <w:p w:rsidR="004A188B" w:rsidRPr="00A67D37" w:rsidRDefault="004A188B" w:rsidP="00510151">
            <w:pPr>
              <w:ind w:right="-13"/>
              <w:jc w:val="center"/>
            </w:pPr>
            <w:r w:rsidRPr="00A67D37">
              <w:t>6</w:t>
            </w:r>
          </w:p>
          <w:p w:rsidR="004A188B" w:rsidRPr="00A67D37" w:rsidRDefault="004A188B" w:rsidP="00510151">
            <w:pPr>
              <w:ind w:right="-13"/>
              <w:jc w:val="center"/>
            </w:pPr>
            <w:r w:rsidRPr="00A67D37">
              <w:t>(5,5; 8)</w:t>
            </w:r>
          </w:p>
        </w:tc>
        <w:tc>
          <w:tcPr>
            <w:tcW w:w="603" w:type="pct"/>
            <w:vMerge w:val="restart"/>
            <w:vAlign w:val="center"/>
          </w:tcPr>
          <w:p w:rsidR="004A188B" w:rsidRPr="00A67D37" w:rsidRDefault="004A188B" w:rsidP="00510151">
            <w:pPr>
              <w:ind w:right="-13"/>
              <w:jc w:val="center"/>
            </w:pPr>
            <w:r w:rsidRPr="00A67D37">
              <w:t>0,004</w:t>
            </w:r>
          </w:p>
        </w:tc>
        <w:tc>
          <w:tcPr>
            <w:tcW w:w="820" w:type="pct"/>
            <w:vMerge w:val="restart"/>
            <w:vAlign w:val="center"/>
          </w:tcPr>
          <w:p w:rsidR="004A188B" w:rsidRPr="00A67D37" w:rsidRDefault="004A188B" w:rsidP="00510151">
            <w:pPr>
              <w:ind w:right="-13"/>
              <w:jc w:val="center"/>
            </w:pPr>
            <w:r w:rsidRPr="00A67D37">
              <w:t>0,175</w:t>
            </w:r>
          </w:p>
        </w:tc>
      </w:tr>
      <w:tr w:rsidR="004A188B" w:rsidRPr="00A67D37" w:rsidTr="00510151">
        <w:trPr>
          <w:cantSplit/>
          <w:trHeight w:val="413"/>
        </w:trPr>
        <w:tc>
          <w:tcPr>
            <w:tcW w:w="935" w:type="pct"/>
            <w:vMerge/>
            <w:vAlign w:val="center"/>
          </w:tcPr>
          <w:p w:rsidR="004A188B" w:rsidRPr="00A67D37" w:rsidRDefault="004A188B" w:rsidP="00510151">
            <w:pPr>
              <w:ind w:right="-13"/>
            </w:pPr>
          </w:p>
        </w:tc>
        <w:tc>
          <w:tcPr>
            <w:tcW w:w="770" w:type="pct"/>
            <w:noWrap/>
            <w:vAlign w:val="center"/>
          </w:tcPr>
          <w:p w:rsidR="004A188B" w:rsidRPr="00D4626F" w:rsidRDefault="004A188B" w:rsidP="00510151">
            <w:pPr>
              <w:ind w:right="-13"/>
              <w:jc w:val="center"/>
              <w:rPr>
                <w:lang w:val="de-AT"/>
              </w:rPr>
            </w:pPr>
            <w:r>
              <w:rPr>
                <w:lang w:val="de-AT"/>
              </w:rPr>
              <w:t>end</w:t>
            </w:r>
          </w:p>
        </w:tc>
        <w:tc>
          <w:tcPr>
            <w:tcW w:w="599" w:type="pct"/>
            <w:noWrap/>
            <w:vAlign w:val="center"/>
          </w:tcPr>
          <w:p w:rsidR="004A188B" w:rsidRPr="00A67D37" w:rsidRDefault="004A188B" w:rsidP="00510151">
            <w:pPr>
              <w:ind w:right="-13"/>
              <w:jc w:val="center"/>
            </w:pPr>
            <w:r w:rsidRPr="00A67D37">
              <w:t>4</w:t>
            </w:r>
          </w:p>
          <w:p w:rsidR="004A188B" w:rsidRPr="00A67D37" w:rsidRDefault="004A188B" w:rsidP="00510151">
            <w:pPr>
              <w:ind w:right="-13"/>
              <w:jc w:val="center"/>
            </w:pPr>
            <w:r w:rsidRPr="00A67D37">
              <w:t>(2; 5)</w:t>
            </w:r>
          </w:p>
        </w:tc>
        <w:tc>
          <w:tcPr>
            <w:tcW w:w="600" w:type="pct"/>
            <w:vMerge/>
            <w:vAlign w:val="center"/>
          </w:tcPr>
          <w:p w:rsidR="004A188B" w:rsidRPr="00A67D37" w:rsidRDefault="004A188B" w:rsidP="00510151">
            <w:pPr>
              <w:ind w:right="-13"/>
              <w:jc w:val="center"/>
            </w:pPr>
          </w:p>
        </w:tc>
        <w:tc>
          <w:tcPr>
            <w:tcW w:w="673" w:type="pct"/>
            <w:vAlign w:val="center"/>
          </w:tcPr>
          <w:p w:rsidR="004A188B" w:rsidRPr="00A67D37" w:rsidRDefault="004A188B" w:rsidP="00510151">
            <w:pPr>
              <w:ind w:right="-13"/>
              <w:jc w:val="center"/>
            </w:pPr>
            <w:r w:rsidRPr="00A67D37">
              <w:t>5</w:t>
            </w:r>
          </w:p>
          <w:p w:rsidR="004A188B" w:rsidRPr="00A67D37" w:rsidRDefault="004A188B" w:rsidP="00510151">
            <w:pPr>
              <w:ind w:right="-13"/>
              <w:jc w:val="center"/>
            </w:pPr>
            <w:r w:rsidRPr="00A67D37">
              <w:t>(4; 6)</w:t>
            </w:r>
          </w:p>
        </w:tc>
        <w:tc>
          <w:tcPr>
            <w:tcW w:w="603" w:type="pct"/>
            <w:vMerge/>
            <w:vAlign w:val="center"/>
          </w:tcPr>
          <w:p w:rsidR="004A188B" w:rsidRPr="00A67D37" w:rsidRDefault="004A188B" w:rsidP="00510151">
            <w:pPr>
              <w:ind w:right="-13"/>
              <w:jc w:val="center"/>
            </w:pPr>
          </w:p>
        </w:tc>
        <w:tc>
          <w:tcPr>
            <w:tcW w:w="820" w:type="pct"/>
            <w:vMerge/>
            <w:vAlign w:val="center"/>
          </w:tcPr>
          <w:p w:rsidR="004A188B" w:rsidRPr="00A67D37" w:rsidRDefault="004A188B" w:rsidP="00510151">
            <w:pPr>
              <w:ind w:right="-13"/>
              <w:jc w:val="center"/>
            </w:pPr>
          </w:p>
        </w:tc>
      </w:tr>
      <w:tr w:rsidR="004A188B" w:rsidRPr="00A67D37" w:rsidTr="00510151">
        <w:trPr>
          <w:cantSplit/>
          <w:trHeight w:val="413"/>
        </w:trPr>
        <w:tc>
          <w:tcPr>
            <w:tcW w:w="935" w:type="pct"/>
            <w:vMerge w:val="restart"/>
            <w:vAlign w:val="center"/>
          </w:tcPr>
          <w:p w:rsidR="004A188B" w:rsidRPr="00D4626F" w:rsidRDefault="004A188B" w:rsidP="00510151">
            <w:pPr>
              <w:ind w:right="-13"/>
              <w:rPr>
                <w:lang w:val="de-AT"/>
              </w:rPr>
            </w:pPr>
            <w:r>
              <w:rPr>
                <w:lang w:val="de-AT"/>
              </w:rPr>
              <w:t>Reflux syndrome</w:t>
            </w:r>
          </w:p>
        </w:tc>
        <w:tc>
          <w:tcPr>
            <w:tcW w:w="770" w:type="pct"/>
            <w:noWrap/>
            <w:vAlign w:val="center"/>
          </w:tcPr>
          <w:p w:rsidR="004A188B" w:rsidRPr="00D4626F" w:rsidRDefault="004A188B" w:rsidP="00510151">
            <w:pPr>
              <w:ind w:right="-13"/>
              <w:jc w:val="center"/>
              <w:rPr>
                <w:lang w:val="de-AT"/>
              </w:rPr>
            </w:pPr>
            <w:r>
              <w:rPr>
                <w:lang w:val="de-AT"/>
              </w:rPr>
              <w:t>beginning</w:t>
            </w:r>
          </w:p>
        </w:tc>
        <w:tc>
          <w:tcPr>
            <w:tcW w:w="599" w:type="pct"/>
            <w:noWrap/>
            <w:vAlign w:val="center"/>
          </w:tcPr>
          <w:p w:rsidR="004A188B" w:rsidRPr="00A67D37" w:rsidRDefault="004A188B" w:rsidP="00510151">
            <w:pPr>
              <w:ind w:right="-13"/>
              <w:jc w:val="center"/>
            </w:pPr>
            <w:r w:rsidRPr="00A67D37">
              <w:t>6</w:t>
            </w:r>
          </w:p>
          <w:p w:rsidR="004A188B" w:rsidRPr="00A67D37" w:rsidRDefault="004A188B" w:rsidP="00510151">
            <w:pPr>
              <w:ind w:right="-13"/>
              <w:jc w:val="center"/>
            </w:pPr>
            <w:r w:rsidRPr="00A67D37">
              <w:t>(4,5; 6)</w:t>
            </w:r>
          </w:p>
        </w:tc>
        <w:tc>
          <w:tcPr>
            <w:tcW w:w="600" w:type="pct"/>
            <w:vMerge w:val="restart"/>
            <w:vAlign w:val="center"/>
          </w:tcPr>
          <w:p w:rsidR="004A188B" w:rsidRPr="00A67D37" w:rsidRDefault="004A188B" w:rsidP="00510151">
            <w:pPr>
              <w:ind w:right="-13"/>
              <w:jc w:val="center"/>
            </w:pPr>
            <w:r w:rsidRPr="00A67D37">
              <w:t>0,343</w:t>
            </w:r>
          </w:p>
        </w:tc>
        <w:tc>
          <w:tcPr>
            <w:tcW w:w="673" w:type="pct"/>
            <w:vAlign w:val="center"/>
          </w:tcPr>
          <w:p w:rsidR="004A188B" w:rsidRPr="00A67D37" w:rsidRDefault="004A188B" w:rsidP="00510151">
            <w:pPr>
              <w:ind w:right="-13"/>
              <w:jc w:val="center"/>
            </w:pPr>
            <w:r w:rsidRPr="00A67D37">
              <w:t>5</w:t>
            </w:r>
          </w:p>
          <w:p w:rsidR="004A188B" w:rsidRPr="00A67D37" w:rsidRDefault="004A188B" w:rsidP="00510151">
            <w:pPr>
              <w:ind w:right="-13"/>
              <w:jc w:val="center"/>
            </w:pPr>
            <w:r w:rsidRPr="00A67D37">
              <w:t>(5; 7)</w:t>
            </w:r>
          </w:p>
        </w:tc>
        <w:tc>
          <w:tcPr>
            <w:tcW w:w="603" w:type="pct"/>
            <w:vMerge w:val="restart"/>
            <w:vAlign w:val="center"/>
          </w:tcPr>
          <w:p w:rsidR="004A188B" w:rsidRPr="00A67D37" w:rsidRDefault="004A188B" w:rsidP="00510151">
            <w:pPr>
              <w:ind w:right="-13"/>
              <w:jc w:val="center"/>
            </w:pPr>
            <w:r w:rsidRPr="00A67D37">
              <w:t>0,003</w:t>
            </w:r>
          </w:p>
        </w:tc>
        <w:tc>
          <w:tcPr>
            <w:tcW w:w="820" w:type="pct"/>
            <w:vMerge w:val="restart"/>
            <w:vAlign w:val="center"/>
          </w:tcPr>
          <w:p w:rsidR="004A188B" w:rsidRPr="00A67D37" w:rsidRDefault="004A188B" w:rsidP="00510151">
            <w:pPr>
              <w:ind w:right="-13"/>
              <w:jc w:val="center"/>
            </w:pPr>
            <w:r w:rsidRPr="00A67D37">
              <w:t>0,442</w:t>
            </w:r>
          </w:p>
        </w:tc>
      </w:tr>
      <w:tr w:rsidR="004A188B" w:rsidRPr="00A67D37" w:rsidTr="00510151">
        <w:trPr>
          <w:cantSplit/>
          <w:trHeight w:val="413"/>
        </w:trPr>
        <w:tc>
          <w:tcPr>
            <w:tcW w:w="935" w:type="pct"/>
            <w:vMerge/>
            <w:vAlign w:val="center"/>
          </w:tcPr>
          <w:p w:rsidR="004A188B" w:rsidRPr="00A67D37" w:rsidRDefault="004A188B" w:rsidP="00510151">
            <w:pPr>
              <w:ind w:right="-13"/>
            </w:pPr>
          </w:p>
        </w:tc>
        <w:tc>
          <w:tcPr>
            <w:tcW w:w="770" w:type="pct"/>
            <w:noWrap/>
            <w:vAlign w:val="center"/>
          </w:tcPr>
          <w:p w:rsidR="004A188B" w:rsidRPr="00D4626F" w:rsidRDefault="004A188B" w:rsidP="00510151">
            <w:pPr>
              <w:ind w:right="-13"/>
              <w:jc w:val="center"/>
              <w:rPr>
                <w:lang w:val="de-AT"/>
              </w:rPr>
            </w:pPr>
            <w:r>
              <w:rPr>
                <w:lang w:val="de-AT"/>
              </w:rPr>
              <w:t>end</w:t>
            </w:r>
          </w:p>
        </w:tc>
        <w:tc>
          <w:tcPr>
            <w:tcW w:w="599" w:type="pct"/>
            <w:noWrap/>
            <w:vAlign w:val="center"/>
          </w:tcPr>
          <w:p w:rsidR="004A188B" w:rsidRPr="00A67D37" w:rsidRDefault="004A188B" w:rsidP="00510151">
            <w:pPr>
              <w:ind w:right="-13"/>
              <w:jc w:val="center"/>
            </w:pPr>
            <w:r w:rsidRPr="00A67D37">
              <w:t>5</w:t>
            </w:r>
          </w:p>
          <w:p w:rsidR="004A188B" w:rsidRPr="00A67D37" w:rsidRDefault="004A188B" w:rsidP="00510151">
            <w:pPr>
              <w:ind w:right="-13"/>
              <w:jc w:val="center"/>
            </w:pPr>
            <w:r w:rsidRPr="00A67D37">
              <w:t>(3; 6)</w:t>
            </w:r>
          </w:p>
        </w:tc>
        <w:tc>
          <w:tcPr>
            <w:tcW w:w="600" w:type="pct"/>
            <w:vMerge/>
            <w:vAlign w:val="center"/>
          </w:tcPr>
          <w:p w:rsidR="004A188B" w:rsidRPr="00A67D37" w:rsidRDefault="004A188B" w:rsidP="00510151">
            <w:pPr>
              <w:ind w:right="-13"/>
              <w:jc w:val="center"/>
            </w:pPr>
          </w:p>
        </w:tc>
        <w:tc>
          <w:tcPr>
            <w:tcW w:w="673" w:type="pct"/>
            <w:vAlign w:val="center"/>
          </w:tcPr>
          <w:p w:rsidR="004A188B" w:rsidRPr="00A67D37" w:rsidRDefault="004A188B" w:rsidP="00510151">
            <w:pPr>
              <w:ind w:right="-13"/>
              <w:jc w:val="center"/>
            </w:pPr>
            <w:r w:rsidRPr="00A67D37">
              <w:t>4</w:t>
            </w:r>
          </w:p>
          <w:p w:rsidR="004A188B" w:rsidRPr="00A67D37" w:rsidRDefault="004A188B" w:rsidP="00510151">
            <w:pPr>
              <w:ind w:right="-13"/>
              <w:jc w:val="center"/>
            </w:pPr>
            <w:r w:rsidRPr="00A67D37">
              <w:t>(4; 5)</w:t>
            </w:r>
          </w:p>
        </w:tc>
        <w:tc>
          <w:tcPr>
            <w:tcW w:w="603" w:type="pct"/>
            <w:vMerge/>
            <w:vAlign w:val="center"/>
          </w:tcPr>
          <w:p w:rsidR="004A188B" w:rsidRPr="00A67D37" w:rsidRDefault="004A188B" w:rsidP="00510151">
            <w:pPr>
              <w:ind w:right="-13"/>
              <w:jc w:val="center"/>
            </w:pPr>
          </w:p>
        </w:tc>
        <w:tc>
          <w:tcPr>
            <w:tcW w:w="820" w:type="pct"/>
            <w:vMerge/>
            <w:vAlign w:val="center"/>
          </w:tcPr>
          <w:p w:rsidR="004A188B" w:rsidRPr="00A67D37" w:rsidRDefault="004A188B" w:rsidP="00510151">
            <w:pPr>
              <w:ind w:right="-13"/>
              <w:jc w:val="center"/>
            </w:pPr>
          </w:p>
        </w:tc>
      </w:tr>
      <w:tr w:rsidR="004A188B" w:rsidRPr="00A67D37" w:rsidTr="00510151">
        <w:trPr>
          <w:cantSplit/>
          <w:trHeight w:val="413"/>
        </w:trPr>
        <w:tc>
          <w:tcPr>
            <w:tcW w:w="935" w:type="pct"/>
            <w:vMerge w:val="restart"/>
            <w:vAlign w:val="center"/>
          </w:tcPr>
          <w:p w:rsidR="004A188B" w:rsidRPr="00D4626F" w:rsidRDefault="004A188B" w:rsidP="00510151">
            <w:pPr>
              <w:ind w:right="-13"/>
              <w:rPr>
                <w:lang w:val="de-AT"/>
              </w:rPr>
            </w:pPr>
            <w:r>
              <w:rPr>
                <w:lang w:val="de-AT"/>
              </w:rPr>
              <w:t>Diarrhea syndrome</w:t>
            </w:r>
          </w:p>
        </w:tc>
        <w:tc>
          <w:tcPr>
            <w:tcW w:w="770" w:type="pct"/>
            <w:noWrap/>
            <w:vAlign w:val="center"/>
          </w:tcPr>
          <w:p w:rsidR="004A188B" w:rsidRPr="00D4626F" w:rsidRDefault="004A188B" w:rsidP="00510151">
            <w:pPr>
              <w:ind w:right="-13"/>
              <w:jc w:val="center"/>
              <w:rPr>
                <w:lang w:val="de-AT"/>
              </w:rPr>
            </w:pPr>
            <w:r>
              <w:rPr>
                <w:lang w:val="de-AT"/>
              </w:rPr>
              <w:t>beginning</w:t>
            </w:r>
          </w:p>
        </w:tc>
        <w:tc>
          <w:tcPr>
            <w:tcW w:w="599" w:type="pct"/>
            <w:noWrap/>
            <w:vAlign w:val="center"/>
          </w:tcPr>
          <w:p w:rsidR="004A188B" w:rsidRPr="00A67D37" w:rsidRDefault="004A188B" w:rsidP="00510151">
            <w:pPr>
              <w:ind w:right="-13"/>
              <w:jc w:val="center"/>
            </w:pPr>
            <w:r w:rsidRPr="00A67D37">
              <w:t>12</w:t>
            </w:r>
          </w:p>
          <w:p w:rsidR="004A188B" w:rsidRPr="00A67D37" w:rsidRDefault="004A188B" w:rsidP="00510151">
            <w:pPr>
              <w:ind w:right="-13"/>
              <w:jc w:val="center"/>
            </w:pPr>
            <w:r w:rsidRPr="00A67D37">
              <w:t>(9,5; 15)</w:t>
            </w:r>
          </w:p>
        </w:tc>
        <w:tc>
          <w:tcPr>
            <w:tcW w:w="600" w:type="pct"/>
            <w:vMerge w:val="restart"/>
            <w:vAlign w:val="center"/>
          </w:tcPr>
          <w:p w:rsidR="004A188B" w:rsidRPr="00A67D37" w:rsidRDefault="004A188B" w:rsidP="00510151">
            <w:pPr>
              <w:ind w:right="-13"/>
              <w:jc w:val="center"/>
            </w:pPr>
            <w:r w:rsidRPr="00A67D37">
              <w:t>0,003</w:t>
            </w:r>
          </w:p>
        </w:tc>
        <w:tc>
          <w:tcPr>
            <w:tcW w:w="673" w:type="pct"/>
            <w:vAlign w:val="center"/>
          </w:tcPr>
          <w:p w:rsidR="004A188B" w:rsidRPr="00A67D37" w:rsidRDefault="004A188B" w:rsidP="00510151">
            <w:pPr>
              <w:ind w:right="-13"/>
              <w:jc w:val="center"/>
            </w:pPr>
            <w:r w:rsidRPr="00A67D37">
              <w:t>11</w:t>
            </w:r>
          </w:p>
          <w:p w:rsidR="004A188B" w:rsidRPr="00A67D37" w:rsidRDefault="004A188B" w:rsidP="00510151">
            <w:pPr>
              <w:ind w:right="-13"/>
              <w:jc w:val="center"/>
            </w:pPr>
            <w:r w:rsidRPr="00A67D37">
              <w:t>(9,5; 15)</w:t>
            </w:r>
          </w:p>
        </w:tc>
        <w:tc>
          <w:tcPr>
            <w:tcW w:w="603" w:type="pct"/>
            <w:vMerge w:val="restart"/>
            <w:vAlign w:val="center"/>
          </w:tcPr>
          <w:p w:rsidR="004A188B" w:rsidRPr="00A67D37" w:rsidRDefault="004A188B" w:rsidP="00510151">
            <w:pPr>
              <w:ind w:right="-13"/>
              <w:jc w:val="center"/>
            </w:pPr>
            <w:r w:rsidRPr="00A67D37">
              <w:t>0,021</w:t>
            </w:r>
          </w:p>
        </w:tc>
        <w:tc>
          <w:tcPr>
            <w:tcW w:w="820" w:type="pct"/>
            <w:vMerge w:val="restart"/>
            <w:vAlign w:val="center"/>
          </w:tcPr>
          <w:p w:rsidR="004A188B" w:rsidRPr="00A67D37" w:rsidRDefault="004A188B" w:rsidP="00510151">
            <w:pPr>
              <w:ind w:right="-13"/>
              <w:jc w:val="center"/>
            </w:pPr>
            <w:r w:rsidRPr="00A67D37">
              <w:t>0,102</w:t>
            </w:r>
          </w:p>
        </w:tc>
      </w:tr>
      <w:tr w:rsidR="004A188B" w:rsidRPr="00A67D37" w:rsidTr="00510151">
        <w:trPr>
          <w:cantSplit/>
          <w:trHeight w:val="413"/>
        </w:trPr>
        <w:tc>
          <w:tcPr>
            <w:tcW w:w="935" w:type="pct"/>
            <w:vMerge/>
            <w:vAlign w:val="center"/>
          </w:tcPr>
          <w:p w:rsidR="004A188B" w:rsidRPr="00A67D37" w:rsidRDefault="004A188B" w:rsidP="00510151">
            <w:pPr>
              <w:ind w:right="-13"/>
            </w:pPr>
          </w:p>
        </w:tc>
        <w:tc>
          <w:tcPr>
            <w:tcW w:w="770" w:type="pct"/>
            <w:noWrap/>
            <w:vAlign w:val="center"/>
          </w:tcPr>
          <w:p w:rsidR="004A188B" w:rsidRPr="00D4626F" w:rsidRDefault="004A188B" w:rsidP="00510151">
            <w:pPr>
              <w:ind w:right="-13"/>
              <w:jc w:val="center"/>
              <w:rPr>
                <w:lang w:val="de-AT"/>
              </w:rPr>
            </w:pPr>
            <w:r>
              <w:rPr>
                <w:lang w:val="de-AT"/>
              </w:rPr>
              <w:t>end</w:t>
            </w:r>
          </w:p>
        </w:tc>
        <w:tc>
          <w:tcPr>
            <w:tcW w:w="599" w:type="pct"/>
            <w:noWrap/>
            <w:vAlign w:val="center"/>
          </w:tcPr>
          <w:p w:rsidR="004A188B" w:rsidRPr="00A67D37" w:rsidRDefault="004A188B" w:rsidP="00510151">
            <w:pPr>
              <w:ind w:right="-13"/>
              <w:jc w:val="center"/>
            </w:pPr>
            <w:r w:rsidRPr="00A67D37">
              <w:t>7</w:t>
            </w:r>
          </w:p>
          <w:p w:rsidR="004A188B" w:rsidRPr="00A67D37" w:rsidRDefault="004A188B" w:rsidP="00510151">
            <w:pPr>
              <w:ind w:right="-13"/>
              <w:jc w:val="center"/>
            </w:pPr>
            <w:r w:rsidRPr="00A67D37">
              <w:t>(3,5; 10)</w:t>
            </w:r>
          </w:p>
        </w:tc>
        <w:tc>
          <w:tcPr>
            <w:tcW w:w="600" w:type="pct"/>
            <w:vMerge/>
            <w:vAlign w:val="center"/>
          </w:tcPr>
          <w:p w:rsidR="004A188B" w:rsidRPr="00A67D37" w:rsidRDefault="004A188B" w:rsidP="00510151">
            <w:pPr>
              <w:ind w:right="-13"/>
              <w:jc w:val="center"/>
            </w:pPr>
          </w:p>
        </w:tc>
        <w:tc>
          <w:tcPr>
            <w:tcW w:w="673" w:type="pct"/>
            <w:vAlign w:val="center"/>
          </w:tcPr>
          <w:p w:rsidR="004A188B" w:rsidRPr="00A67D37" w:rsidRDefault="004A188B" w:rsidP="00510151">
            <w:pPr>
              <w:ind w:right="-13"/>
              <w:jc w:val="center"/>
            </w:pPr>
            <w:r w:rsidRPr="00A67D37">
              <w:t>10</w:t>
            </w:r>
          </w:p>
          <w:p w:rsidR="004A188B" w:rsidRPr="00A67D37" w:rsidRDefault="004A188B" w:rsidP="00510151">
            <w:pPr>
              <w:ind w:right="-13"/>
              <w:jc w:val="center"/>
            </w:pPr>
            <w:r w:rsidRPr="00A67D37">
              <w:t>(6; 11,5)</w:t>
            </w:r>
          </w:p>
        </w:tc>
        <w:tc>
          <w:tcPr>
            <w:tcW w:w="603" w:type="pct"/>
            <w:vMerge/>
            <w:vAlign w:val="center"/>
          </w:tcPr>
          <w:p w:rsidR="004A188B" w:rsidRPr="00A67D37" w:rsidRDefault="004A188B" w:rsidP="00510151">
            <w:pPr>
              <w:ind w:right="-13"/>
              <w:jc w:val="center"/>
            </w:pPr>
          </w:p>
        </w:tc>
        <w:tc>
          <w:tcPr>
            <w:tcW w:w="820" w:type="pct"/>
            <w:vMerge/>
            <w:vAlign w:val="center"/>
          </w:tcPr>
          <w:p w:rsidR="004A188B" w:rsidRPr="00A67D37" w:rsidRDefault="004A188B" w:rsidP="00510151">
            <w:pPr>
              <w:ind w:right="-13"/>
              <w:jc w:val="center"/>
            </w:pPr>
          </w:p>
        </w:tc>
      </w:tr>
      <w:tr w:rsidR="004A188B" w:rsidRPr="00A67D37" w:rsidTr="00510151">
        <w:trPr>
          <w:cantSplit/>
          <w:trHeight w:val="413"/>
        </w:trPr>
        <w:tc>
          <w:tcPr>
            <w:tcW w:w="935" w:type="pct"/>
            <w:vMerge w:val="restart"/>
            <w:vAlign w:val="center"/>
          </w:tcPr>
          <w:p w:rsidR="004A188B" w:rsidRPr="00792C1F" w:rsidRDefault="004A188B" w:rsidP="00510151">
            <w:pPr>
              <w:ind w:right="-13"/>
              <w:rPr>
                <w:lang w:val="de-AT"/>
              </w:rPr>
            </w:pPr>
            <w:r>
              <w:rPr>
                <w:lang w:val="de-AT"/>
              </w:rPr>
              <w:t>Dyspepsy</w:t>
            </w:r>
          </w:p>
        </w:tc>
        <w:tc>
          <w:tcPr>
            <w:tcW w:w="770" w:type="pct"/>
            <w:noWrap/>
            <w:vAlign w:val="center"/>
          </w:tcPr>
          <w:p w:rsidR="004A188B" w:rsidRPr="00D4626F" w:rsidRDefault="004A188B" w:rsidP="00510151">
            <w:pPr>
              <w:ind w:right="-13"/>
              <w:jc w:val="center"/>
              <w:rPr>
                <w:lang w:val="de-AT"/>
              </w:rPr>
            </w:pPr>
            <w:r>
              <w:rPr>
                <w:lang w:val="de-AT"/>
              </w:rPr>
              <w:t>beginning</w:t>
            </w:r>
          </w:p>
        </w:tc>
        <w:tc>
          <w:tcPr>
            <w:tcW w:w="599" w:type="pct"/>
            <w:noWrap/>
            <w:vAlign w:val="center"/>
          </w:tcPr>
          <w:p w:rsidR="004A188B" w:rsidRPr="00A67D37" w:rsidRDefault="004A188B" w:rsidP="00510151">
            <w:pPr>
              <w:ind w:right="-13"/>
              <w:jc w:val="center"/>
            </w:pPr>
            <w:r w:rsidRPr="00A67D37">
              <w:t>15</w:t>
            </w:r>
          </w:p>
          <w:p w:rsidR="004A188B" w:rsidRPr="00A67D37" w:rsidRDefault="004A188B" w:rsidP="00510151">
            <w:pPr>
              <w:ind w:right="-13"/>
              <w:jc w:val="center"/>
            </w:pPr>
            <w:r w:rsidRPr="00A67D37">
              <w:t>(10,5; 17)</w:t>
            </w:r>
          </w:p>
        </w:tc>
        <w:tc>
          <w:tcPr>
            <w:tcW w:w="600" w:type="pct"/>
            <w:vMerge w:val="restart"/>
            <w:vAlign w:val="center"/>
          </w:tcPr>
          <w:p w:rsidR="004A188B" w:rsidRPr="00A67D37" w:rsidRDefault="004A188B" w:rsidP="00510151">
            <w:pPr>
              <w:ind w:right="-13"/>
              <w:jc w:val="center"/>
            </w:pPr>
            <w:r w:rsidRPr="00A67D37">
              <w:t>0,003</w:t>
            </w:r>
          </w:p>
        </w:tc>
        <w:tc>
          <w:tcPr>
            <w:tcW w:w="673" w:type="pct"/>
            <w:vAlign w:val="center"/>
          </w:tcPr>
          <w:p w:rsidR="004A188B" w:rsidRPr="00A67D37" w:rsidRDefault="004A188B" w:rsidP="00510151">
            <w:pPr>
              <w:ind w:right="-13"/>
              <w:jc w:val="center"/>
            </w:pPr>
            <w:r w:rsidRPr="00A67D37">
              <w:t>11</w:t>
            </w:r>
          </w:p>
          <w:p w:rsidR="004A188B" w:rsidRPr="00A67D37" w:rsidRDefault="004A188B" w:rsidP="00510151">
            <w:pPr>
              <w:ind w:right="-13"/>
              <w:jc w:val="center"/>
            </w:pPr>
            <w:r w:rsidRPr="00A67D37">
              <w:t>(8,5; 17)</w:t>
            </w:r>
          </w:p>
        </w:tc>
        <w:tc>
          <w:tcPr>
            <w:tcW w:w="603" w:type="pct"/>
            <w:vMerge w:val="restart"/>
            <w:vAlign w:val="center"/>
          </w:tcPr>
          <w:p w:rsidR="004A188B" w:rsidRPr="00A67D37" w:rsidRDefault="004A188B" w:rsidP="00510151">
            <w:pPr>
              <w:ind w:right="-13"/>
              <w:jc w:val="center"/>
            </w:pPr>
            <w:r w:rsidRPr="00A67D37">
              <w:t>0,002</w:t>
            </w:r>
          </w:p>
        </w:tc>
        <w:tc>
          <w:tcPr>
            <w:tcW w:w="820" w:type="pct"/>
            <w:vMerge w:val="restart"/>
            <w:vAlign w:val="center"/>
          </w:tcPr>
          <w:p w:rsidR="004A188B" w:rsidRPr="00A67D37" w:rsidRDefault="004A188B" w:rsidP="00510151">
            <w:pPr>
              <w:ind w:right="-13"/>
              <w:jc w:val="center"/>
            </w:pPr>
            <w:r w:rsidRPr="00A67D37">
              <w:t>0,835</w:t>
            </w:r>
          </w:p>
        </w:tc>
      </w:tr>
      <w:tr w:rsidR="004A188B" w:rsidRPr="00A67D37" w:rsidTr="00510151">
        <w:trPr>
          <w:cantSplit/>
          <w:trHeight w:val="413"/>
        </w:trPr>
        <w:tc>
          <w:tcPr>
            <w:tcW w:w="935" w:type="pct"/>
            <w:vMerge/>
            <w:vAlign w:val="center"/>
          </w:tcPr>
          <w:p w:rsidR="004A188B" w:rsidRPr="00A67D37" w:rsidRDefault="004A188B" w:rsidP="00510151">
            <w:pPr>
              <w:ind w:right="-13"/>
            </w:pPr>
          </w:p>
        </w:tc>
        <w:tc>
          <w:tcPr>
            <w:tcW w:w="770" w:type="pct"/>
            <w:noWrap/>
            <w:vAlign w:val="center"/>
          </w:tcPr>
          <w:p w:rsidR="004A188B" w:rsidRPr="00D4626F" w:rsidRDefault="004A188B" w:rsidP="00510151">
            <w:pPr>
              <w:ind w:right="-13"/>
              <w:jc w:val="center"/>
              <w:rPr>
                <w:lang w:val="de-AT"/>
              </w:rPr>
            </w:pPr>
            <w:r>
              <w:rPr>
                <w:lang w:val="de-AT"/>
              </w:rPr>
              <w:t>end</w:t>
            </w:r>
          </w:p>
        </w:tc>
        <w:tc>
          <w:tcPr>
            <w:tcW w:w="599" w:type="pct"/>
            <w:noWrap/>
            <w:vAlign w:val="center"/>
          </w:tcPr>
          <w:p w:rsidR="004A188B" w:rsidRPr="00A67D37" w:rsidRDefault="004A188B" w:rsidP="00510151">
            <w:pPr>
              <w:ind w:right="-13"/>
              <w:jc w:val="center"/>
            </w:pPr>
            <w:r w:rsidRPr="00A67D37">
              <w:t>8</w:t>
            </w:r>
          </w:p>
          <w:p w:rsidR="004A188B" w:rsidRPr="00A67D37" w:rsidRDefault="004A188B" w:rsidP="00510151">
            <w:pPr>
              <w:ind w:right="-13"/>
              <w:jc w:val="center"/>
            </w:pPr>
            <w:r w:rsidRPr="00A67D37">
              <w:t>(6; 10,5)</w:t>
            </w:r>
          </w:p>
        </w:tc>
        <w:tc>
          <w:tcPr>
            <w:tcW w:w="600" w:type="pct"/>
            <w:vMerge/>
            <w:vAlign w:val="center"/>
          </w:tcPr>
          <w:p w:rsidR="004A188B" w:rsidRPr="00A67D37" w:rsidRDefault="004A188B" w:rsidP="00510151">
            <w:pPr>
              <w:ind w:right="-13"/>
              <w:jc w:val="center"/>
            </w:pPr>
          </w:p>
        </w:tc>
        <w:tc>
          <w:tcPr>
            <w:tcW w:w="673" w:type="pct"/>
            <w:vAlign w:val="center"/>
          </w:tcPr>
          <w:p w:rsidR="004A188B" w:rsidRPr="00A67D37" w:rsidRDefault="004A188B" w:rsidP="00510151">
            <w:pPr>
              <w:ind w:right="-13"/>
              <w:jc w:val="center"/>
            </w:pPr>
            <w:r w:rsidRPr="00A67D37">
              <w:t>7</w:t>
            </w:r>
          </w:p>
          <w:p w:rsidR="004A188B" w:rsidRPr="00A67D37" w:rsidRDefault="004A188B" w:rsidP="00510151">
            <w:pPr>
              <w:ind w:right="-13"/>
              <w:jc w:val="center"/>
            </w:pPr>
            <w:r w:rsidRPr="00A67D37">
              <w:t>(6,5; 9)</w:t>
            </w:r>
          </w:p>
        </w:tc>
        <w:tc>
          <w:tcPr>
            <w:tcW w:w="603" w:type="pct"/>
            <w:vMerge/>
            <w:vAlign w:val="center"/>
          </w:tcPr>
          <w:p w:rsidR="004A188B" w:rsidRPr="00A67D37" w:rsidRDefault="004A188B" w:rsidP="00510151">
            <w:pPr>
              <w:ind w:right="-13"/>
              <w:jc w:val="center"/>
            </w:pPr>
          </w:p>
        </w:tc>
        <w:tc>
          <w:tcPr>
            <w:tcW w:w="820" w:type="pct"/>
            <w:vMerge/>
            <w:vAlign w:val="center"/>
          </w:tcPr>
          <w:p w:rsidR="004A188B" w:rsidRPr="00A67D37" w:rsidRDefault="004A188B" w:rsidP="00510151">
            <w:pPr>
              <w:ind w:right="-13"/>
              <w:jc w:val="center"/>
            </w:pPr>
          </w:p>
        </w:tc>
      </w:tr>
      <w:tr w:rsidR="004A188B" w:rsidRPr="00A67D37" w:rsidTr="00510151">
        <w:trPr>
          <w:cantSplit/>
          <w:trHeight w:val="413"/>
        </w:trPr>
        <w:tc>
          <w:tcPr>
            <w:tcW w:w="935" w:type="pct"/>
            <w:vMerge w:val="restart"/>
            <w:vAlign w:val="center"/>
          </w:tcPr>
          <w:p w:rsidR="004A188B" w:rsidRPr="00792C1F" w:rsidRDefault="004A188B" w:rsidP="00510151">
            <w:pPr>
              <w:ind w:right="-13"/>
              <w:rPr>
                <w:lang w:val="de-AT"/>
              </w:rPr>
            </w:pPr>
            <w:r>
              <w:rPr>
                <w:lang w:val="de-AT"/>
              </w:rPr>
              <w:t xml:space="preserve">Constipation </w:t>
            </w:r>
            <w:r>
              <w:rPr>
                <w:lang w:val="de-AT"/>
              </w:rPr>
              <w:lastRenderedPageBreak/>
              <w:t>syndrome</w:t>
            </w:r>
          </w:p>
        </w:tc>
        <w:tc>
          <w:tcPr>
            <w:tcW w:w="770" w:type="pct"/>
            <w:noWrap/>
            <w:vAlign w:val="center"/>
          </w:tcPr>
          <w:p w:rsidR="004A188B" w:rsidRPr="00D4626F" w:rsidRDefault="004A188B" w:rsidP="00510151">
            <w:pPr>
              <w:ind w:right="-13"/>
              <w:jc w:val="center"/>
              <w:rPr>
                <w:lang w:val="de-AT"/>
              </w:rPr>
            </w:pPr>
            <w:r>
              <w:rPr>
                <w:lang w:val="de-AT"/>
              </w:rPr>
              <w:lastRenderedPageBreak/>
              <w:t>beginning</w:t>
            </w:r>
          </w:p>
        </w:tc>
        <w:tc>
          <w:tcPr>
            <w:tcW w:w="599" w:type="pct"/>
            <w:noWrap/>
            <w:vAlign w:val="center"/>
          </w:tcPr>
          <w:p w:rsidR="004A188B" w:rsidRPr="00A67D37" w:rsidRDefault="004A188B" w:rsidP="00510151">
            <w:pPr>
              <w:ind w:right="-13"/>
              <w:jc w:val="center"/>
            </w:pPr>
            <w:r w:rsidRPr="00A67D37">
              <w:t>5</w:t>
            </w:r>
          </w:p>
          <w:p w:rsidR="004A188B" w:rsidRPr="00A67D37" w:rsidRDefault="004A188B" w:rsidP="00510151">
            <w:pPr>
              <w:ind w:right="-13"/>
              <w:jc w:val="center"/>
            </w:pPr>
            <w:r w:rsidRPr="00A67D37">
              <w:t>(4; 6)</w:t>
            </w:r>
          </w:p>
        </w:tc>
        <w:tc>
          <w:tcPr>
            <w:tcW w:w="600" w:type="pct"/>
            <w:vMerge w:val="restart"/>
            <w:vAlign w:val="center"/>
          </w:tcPr>
          <w:p w:rsidR="004A188B" w:rsidRPr="00A67D37" w:rsidRDefault="004A188B" w:rsidP="00510151">
            <w:pPr>
              <w:ind w:right="-13"/>
              <w:jc w:val="center"/>
            </w:pPr>
            <w:r w:rsidRPr="00A67D37">
              <w:t>0,591</w:t>
            </w:r>
          </w:p>
        </w:tc>
        <w:tc>
          <w:tcPr>
            <w:tcW w:w="673" w:type="pct"/>
            <w:vAlign w:val="center"/>
          </w:tcPr>
          <w:p w:rsidR="004A188B" w:rsidRPr="00A67D37" w:rsidRDefault="004A188B" w:rsidP="00510151">
            <w:pPr>
              <w:ind w:right="-13"/>
              <w:jc w:val="center"/>
            </w:pPr>
            <w:r w:rsidRPr="00A67D37">
              <w:t>5</w:t>
            </w:r>
          </w:p>
          <w:p w:rsidR="004A188B" w:rsidRPr="00A67D37" w:rsidRDefault="004A188B" w:rsidP="00510151">
            <w:pPr>
              <w:ind w:right="-13"/>
              <w:jc w:val="center"/>
            </w:pPr>
            <w:r w:rsidRPr="00A67D37">
              <w:lastRenderedPageBreak/>
              <w:t>(4; 8,5)</w:t>
            </w:r>
          </w:p>
        </w:tc>
        <w:tc>
          <w:tcPr>
            <w:tcW w:w="603" w:type="pct"/>
            <w:vMerge w:val="restart"/>
            <w:vAlign w:val="center"/>
          </w:tcPr>
          <w:p w:rsidR="004A188B" w:rsidRPr="00A67D37" w:rsidRDefault="004A188B" w:rsidP="00510151">
            <w:pPr>
              <w:ind w:right="-13"/>
              <w:jc w:val="center"/>
            </w:pPr>
            <w:r w:rsidRPr="00A67D37">
              <w:lastRenderedPageBreak/>
              <w:t>0,021</w:t>
            </w:r>
          </w:p>
        </w:tc>
        <w:tc>
          <w:tcPr>
            <w:tcW w:w="820" w:type="pct"/>
            <w:vMerge w:val="restart"/>
            <w:vAlign w:val="center"/>
          </w:tcPr>
          <w:p w:rsidR="004A188B" w:rsidRPr="00A67D37" w:rsidRDefault="004A188B" w:rsidP="00510151">
            <w:pPr>
              <w:ind w:right="-13"/>
              <w:jc w:val="center"/>
            </w:pPr>
            <w:r w:rsidRPr="00A67D37">
              <w:t>0,237</w:t>
            </w:r>
          </w:p>
        </w:tc>
      </w:tr>
      <w:tr w:rsidR="004A188B" w:rsidRPr="00A67D37" w:rsidTr="00510151">
        <w:trPr>
          <w:cantSplit/>
          <w:trHeight w:val="413"/>
        </w:trPr>
        <w:tc>
          <w:tcPr>
            <w:tcW w:w="935" w:type="pct"/>
            <w:vMerge/>
            <w:vAlign w:val="center"/>
          </w:tcPr>
          <w:p w:rsidR="004A188B" w:rsidRPr="00A67D37" w:rsidRDefault="004A188B" w:rsidP="00510151">
            <w:pPr>
              <w:ind w:right="-13"/>
            </w:pPr>
          </w:p>
        </w:tc>
        <w:tc>
          <w:tcPr>
            <w:tcW w:w="770" w:type="pct"/>
            <w:noWrap/>
            <w:vAlign w:val="center"/>
          </w:tcPr>
          <w:p w:rsidR="004A188B" w:rsidRPr="00D4626F" w:rsidRDefault="004A188B" w:rsidP="00510151">
            <w:pPr>
              <w:ind w:right="-13"/>
              <w:jc w:val="center"/>
              <w:rPr>
                <w:lang w:val="de-AT"/>
              </w:rPr>
            </w:pPr>
            <w:r>
              <w:rPr>
                <w:lang w:val="de-AT"/>
              </w:rPr>
              <w:t>end</w:t>
            </w:r>
          </w:p>
        </w:tc>
        <w:tc>
          <w:tcPr>
            <w:tcW w:w="599" w:type="pct"/>
            <w:noWrap/>
            <w:vAlign w:val="center"/>
          </w:tcPr>
          <w:p w:rsidR="004A188B" w:rsidRPr="00A67D37" w:rsidRDefault="004A188B" w:rsidP="00510151">
            <w:pPr>
              <w:ind w:right="-13"/>
              <w:jc w:val="center"/>
            </w:pPr>
            <w:r w:rsidRPr="00A67D37">
              <w:t>5</w:t>
            </w:r>
          </w:p>
          <w:p w:rsidR="004A188B" w:rsidRPr="00A67D37" w:rsidRDefault="004A188B" w:rsidP="00510151">
            <w:pPr>
              <w:ind w:right="-13"/>
              <w:jc w:val="center"/>
            </w:pPr>
            <w:r w:rsidRPr="00A67D37">
              <w:t>(3; 7)</w:t>
            </w:r>
          </w:p>
        </w:tc>
        <w:tc>
          <w:tcPr>
            <w:tcW w:w="600" w:type="pct"/>
            <w:vMerge/>
            <w:vAlign w:val="center"/>
          </w:tcPr>
          <w:p w:rsidR="004A188B" w:rsidRPr="00A67D37" w:rsidRDefault="004A188B" w:rsidP="00510151">
            <w:pPr>
              <w:ind w:right="-13"/>
              <w:jc w:val="center"/>
            </w:pPr>
          </w:p>
        </w:tc>
        <w:tc>
          <w:tcPr>
            <w:tcW w:w="673" w:type="pct"/>
            <w:vAlign w:val="center"/>
          </w:tcPr>
          <w:p w:rsidR="004A188B" w:rsidRPr="00A67D37" w:rsidRDefault="004A188B" w:rsidP="00510151">
            <w:pPr>
              <w:ind w:right="-13"/>
              <w:jc w:val="center"/>
            </w:pPr>
            <w:r w:rsidRPr="00A67D37">
              <w:t>4</w:t>
            </w:r>
          </w:p>
          <w:p w:rsidR="004A188B" w:rsidRPr="00A67D37" w:rsidRDefault="004A188B" w:rsidP="00510151">
            <w:pPr>
              <w:ind w:right="-13"/>
              <w:jc w:val="center"/>
            </w:pPr>
            <w:r w:rsidRPr="00A67D37">
              <w:t>(3; 6)</w:t>
            </w:r>
          </w:p>
        </w:tc>
        <w:tc>
          <w:tcPr>
            <w:tcW w:w="603" w:type="pct"/>
            <w:vMerge/>
            <w:vAlign w:val="center"/>
          </w:tcPr>
          <w:p w:rsidR="004A188B" w:rsidRPr="00A67D37" w:rsidRDefault="004A188B" w:rsidP="00510151">
            <w:pPr>
              <w:ind w:right="-13"/>
              <w:jc w:val="center"/>
            </w:pPr>
          </w:p>
        </w:tc>
        <w:tc>
          <w:tcPr>
            <w:tcW w:w="820" w:type="pct"/>
            <w:vMerge/>
            <w:vAlign w:val="center"/>
          </w:tcPr>
          <w:p w:rsidR="004A188B" w:rsidRPr="00A67D37" w:rsidRDefault="004A188B" w:rsidP="00510151">
            <w:pPr>
              <w:ind w:right="-13"/>
              <w:jc w:val="center"/>
            </w:pPr>
          </w:p>
        </w:tc>
      </w:tr>
      <w:tr w:rsidR="004A188B" w:rsidRPr="00A67D37" w:rsidTr="00510151">
        <w:trPr>
          <w:cantSplit/>
          <w:trHeight w:val="413"/>
        </w:trPr>
        <w:tc>
          <w:tcPr>
            <w:tcW w:w="935" w:type="pct"/>
            <w:vMerge w:val="restart"/>
            <w:vAlign w:val="center"/>
          </w:tcPr>
          <w:p w:rsidR="004A188B" w:rsidRPr="00E9202F" w:rsidRDefault="004A188B" w:rsidP="00510151">
            <w:pPr>
              <w:ind w:right="-13"/>
              <w:rPr>
                <w:lang w:val="de-AT"/>
              </w:rPr>
            </w:pPr>
            <w:r>
              <w:rPr>
                <w:lang w:val="de-AT"/>
              </w:rPr>
              <w:t>Total score</w:t>
            </w:r>
          </w:p>
        </w:tc>
        <w:tc>
          <w:tcPr>
            <w:tcW w:w="770" w:type="pct"/>
            <w:noWrap/>
            <w:vAlign w:val="center"/>
          </w:tcPr>
          <w:p w:rsidR="004A188B" w:rsidRPr="00D4626F" w:rsidRDefault="004A188B" w:rsidP="00510151">
            <w:pPr>
              <w:ind w:right="-13"/>
              <w:jc w:val="center"/>
              <w:rPr>
                <w:lang w:val="de-AT"/>
              </w:rPr>
            </w:pPr>
            <w:r>
              <w:rPr>
                <w:lang w:val="de-AT"/>
              </w:rPr>
              <w:t>beginning</w:t>
            </w:r>
          </w:p>
        </w:tc>
        <w:tc>
          <w:tcPr>
            <w:tcW w:w="599" w:type="pct"/>
            <w:noWrap/>
            <w:vAlign w:val="center"/>
          </w:tcPr>
          <w:p w:rsidR="004A188B" w:rsidRPr="00A67D37" w:rsidRDefault="004A188B" w:rsidP="00510151">
            <w:pPr>
              <w:ind w:right="-13"/>
              <w:jc w:val="center"/>
            </w:pPr>
            <w:r w:rsidRPr="00A67D37">
              <w:t>46</w:t>
            </w:r>
          </w:p>
          <w:p w:rsidR="004A188B" w:rsidRPr="00A67D37" w:rsidRDefault="004A188B" w:rsidP="00510151">
            <w:pPr>
              <w:ind w:right="-13"/>
              <w:jc w:val="center"/>
            </w:pPr>
            <w:r w:rsidRPr="00A67D37">
              <w:t>(35; 50,5)</w:t>
            </w:r>
          </w:p>
        </w:tc>
        <w:tc>
          <w:tcPr>
            <w:tcW w:w="600" w:type="pct"/>
            <w:vMerge w:val="restart"/>
            <w:vAlign w:val="center"/>
          </w:tcPr>
          <w:p w:rsidR="004A188B" w:rsidRPr="00A67D37" w:rsidRDefault="004A188B" w:rsidP="00510151">
            <w:pPr>
              <w:ind w:right="-13"/>
              <w:jc w:val="center"/>
            </w:pPr>
            <w:r w:rsidRPr="00A67D37">
              <w:t>0,004</w:t>
            </w:r>
          </w:p>
        </w:tc>
        <w:tc>
          <w:tcPr>
            <w:tcW w:w="673" w:type="pct"/>
            <w:vAlign w:val="center"/>
          </w:tcPr>
          <w:p w:rsidR="004A188B" w:rsidRPr="00A67D37" w:rsidRDefault="004A188B" w:rsidP="00510151">
            <w:pPr>
              <w:ind w:right="-13"/>
              <w:jc w:val="center"/>
            </w:pPr>
            <w:r w:rsidRPr="00A67D37">
              <w:t>44</w:t>
            </w:r>
          </w:p>
          <w:p w:rsidR="004A188B" w:rsidRPr="00A67D37" w:rsidRDefault="004A188B" w:rsidP="00510151">
            <w:pPr>
              <w:ind w:right="-13"/>
              <w:jc w:val="center"/>
            </w:pPr>
            <w:r w:rsidRPr="00A67D37">
              <w:t>(37; 48)</w:t>
            </w:r>
          </w:p>
        </w:tc>
        <w:tc>
          <w:tcPr>
            <w:tcW w:w="603" w:type="pct"/>
            <w:vMerge w:val="restart"/>
            <w:vAlign w:val="center"/>
          </w:tcPr>
          <w:p w:rsidR="004A188B" w:rsidRPr="00A67D37" w:rsidRDefault="004A188B" w:rsidP="00510151">
            <w:pPr>
              <w:ind w:right="-13"/>
              <w:jc w:val="center"/>
            </w:pPr>
            <w:r w:rsidRPr="00A67D37">
              <w:t>0,001</w:t>
            </w:r>
          </w:p>
        </w:tc>
        <w:tc>
          <w:tcPr>
            <w:tcW w:w="820" w:type="pct"/>
            <w:vMerge w:val="restart"/>
            <w:vAlign w:val="center"/>
          </w:tcPr>
          <w:p w:rsidR="004A188B" w:rsidRPr="00A67D37" w:rsidRDefault="004A188B" w:rsidP="00510151">
            <w:pPr>
              <w:ind w:right="-13"/>
              <w:jc w:val="center"/>
            </w:pPr>
            <w:r w:rsidRPr="00A67D37">
              <w:t>0,835</w:t>
            </w:r>
          </w:p>
        </w:tc>
      </w:tr>
      <w:tr w:rsidR="004A188B" w:rsidRPr="00A67D37" w:rsidTr="00510151">
        <w:trPr>
          <w:cantSplit/>
          <w:trHeight w:val="413"/>
        </w:trPr>
        <w:tc>
          <w:tcPr>
            <w:tcW w:w="935" w:type="pct"/>
            <w:vMerge/>
            <w:vAlign w:val="center"/>
          </w:tcPr>
          <w:p w:rsidR="004A188B" w:rsidRPr="00A67D37" w:rsidRDefault="004A188B" w:rsidP="00510151">
            <w:pPr>
              <w:ind w:right="-13"/>
            </w:pPr>
          </w:p>
        </w:tc>
        <w:tc>
          <w:tcPr>
            <w:tcW w:w="770" w:type="pct"/>
            <w:noWrap/>
            <w:vAlign w:val="center"/>
          </w:tcPr>
          <w:p w:rsidR="004A188B" w:rsidRPr="00D4626F" w:rsidRDefault="004A188B" w:rsidP="00510151">
            <w:pPr>
              <w:ind w:right="-13"/>
              <w:jc w:val="center"/>
              <w:rPr>
                <w:lang w:val="de-AT"/>
              </w:rPr>
            </w:pPr>
            <w:r>
              <w:rPr>
                <w:lang w:val="de-AT"/>
              </w:rPr>
              <w:t>end</w:t>
            </w:r>
          </w:p>
        </w:tc>
        <w:tc>
          <w:tcPr>
            <w:tcW w:w="599" w:type="pct"/>
            <w:noWrap/>
            <w:vAlign w:val="center"/>
          </w:tcPr>
          <w:p w:rsidR="004A188B" w:rsidRPr="00A67D37" w:rsidRDefault="004A188B" w:rsidP="00510151">
            <w:pPr>
              <w:ind w:right="-13"/>
              <w:jc w:val="center"/>
            </w:pPr>
            <w:r w:rsidRPr="00A67D37">
              <w:t>29</w:t>
            </w:r>
          </w:p>
          <w:p w:rsidR="004A188B" w:rsidRPr="00A67D37" w:rsidRDefault="004A188B" w:rsidP="00510151">
            <w:pPr>
              <w:ind w:right="-13"/>
              <w:jc w:val="center"/>
            </w:pPr>
            <w:r w:rsidRPr="00A67D37">
              <w:t>(23; 40)</w:t>
            </w:r>
          </w:p>
        </w:tc>
        <w:tc>
          <w:tcPr>
            <w:tcW w:w="600" w:type="pct"/>
            <w:vMerge/>
            <w:vAlign w:val="center"/>
          </w:tcPr>
          <w:p w:rsidR="004A188B" w:rsidRPr="00A67D37" w:rsidRDefault="004A188B" w:rsidP="00510151">
            <w:pPr>
              <w:ind w:right="-13"/>
              <w:jc w:val="center"/>
            </w:pPr>
          </w:p>
        </w:tc>
        <w:tc>
          <w:tcPr>
            <w:tcW w:w="673" w:type="pct"/>
            <w:vAlign w:val="center"/>
          </w:tcPr>
          <w:p w:rsidR="004A188B" w:rsidRPr="00A67D37" w:rsidRDefault="004A188B" w:rsidP="00510151">
            <w:pPr>
              <w:ind w:right="-13"/>
              <w:jc w:val="center"/>
            </w:pPr>
            <w:r w:rsidRPr="00A67D37">
              <w:t>33</w:t>
            </w:r>
          </w:p>
          <w:p w:rsidR="004A188B" w:rsidRPr="00A67D37" w:rsidRDefault="004A188B" w:rsidP="00510151">
            <w:pPr>
              <w:ind w:right="-13"/>
              <w:jc w:val="center"/>
            </w:pPr>
            <w:r w:rsidRPr="00A67D37">
              <w:t>(27; 35)</w:t>
            </w:r>
          </w:p>
        </w:tc>
        <w:tc>
          <w:tcPr>
            <w:tcW w:w="603" w:type="pct"/>
            <w:vMerge/>
            <w:vAlign w:val="center"/>
          </w:tcPr>
          <w:p w:rsidR="004A188B" w:rsidRPr="00A67D37" w:rsidRDefault="004A188B" w:rsidP="00510151">
            <w:pPr>
              <w:ind w:right="-13"/>
              <w:jc w:val="center"/>
            </w:pPr>
          </w:p>
        </w:tc>
        <w:tc>
          <w:tcPr>
            <w:tcW w:w="820" w:type="pct"/>
            <w:vMerge/>
            <w:vAlign w:val="center"/>
          </w:tcPr>
          <w:p w:rsidR="004A188B" w:rsidRPr="00A67D37" w:rsidRDefault="004A188B" w:rsidP="00510151">
            <w:pPr>
              <w:ind w:right="-13"/>
              <w:jc w:val="center"/>
            </w:pPr>
          </w:p>
        </w:tc>
      </w:tr>
    </w:tbl>
    <w:p w:rsidR="00211D6A" w:rsidRDefault="00211D6A" w:rsidP="00DF19D2">
      <w:pPr>
        <w:rPr>
          <w:rFonts w:asciiTheme="majorBidi" w:hAnsiTheme="majorBidi" w:cstheme="majorBidi"/>
          <w:sz w:val="28"/>
          <w:szCs w:val="28"/>
          <w:lang w:val="en-US"/>
        </w:rPr>
      </w:pPr>
    </w:p>
    <w:p w:rsidR="00030CDF" w:rsidRPr="006919CE" w:rsidRDefault="00030CDF" w:rsidP="00030CDF">
      <w:pPr>
        <w:rPr>
          <w:rFonts w:asciiTheme="majorBidi" w:hAnsiTheme="majorBidi" w:cstheme="majorBidi"/>
          <w:sz w:val="28"/>
          <w:szCs w:val="28"/>
          <w:lang w:val="en-US"/>
        </w:rPr>
      </w:pPr>
      <w:r w:rsidRPr="006919CE">
        <w:rPr>
          <w:rFonts w:asciiTheme="majorBidi" w:hAnsiTheme="majorBidi" w:cstheme="majorBidi"/>
          <w:sz w:val="28"/>
          <w:szCs w:val="28"/>
          <w:lang w:val="en-US"/>
        </w:rPr>
        <w:t>The most clinically significant changes observed in patients of the main group were normalization of stool frequency (</w:t>
      </w:r>
      <w:r>
        <w:rPr>
          <w:rFonts w:asciiTheme="majorBidi" w:hAnsiTheme="majorBidi" w:cstheme="majorBidi"/>
          <w:sz w:val="28"/>
          <w:szCs w:val="28"/>
          <w:lang w:val="en-US"/>
        </w:rPr>
        <w:t>decrease</w:t>
      </w:r>
      <w:r w:rsidRPr="006919CE">
        <w:rPr>
          <w:rFonts w:asciiTheme="majorBidi" w:hAnsiTheme="majorBidi" w:cstheme="majorBidi"/>
          <w:sz w:val="28"/>
          <w:szCs w:val="28"/>
          <w:lang w:val="en-US"/>
        </w:rPr>
        <w:t xml:space="preserve"> up to 7 times a week), normalization of stool form (up to </w:t>
      </w:r>
      <w:r>
        <w:rPr>
          <w:rFonts w:asciiTheme="majorBidi" w:hAnsiTheme="majorBidi" w:cstheme="majorBidi"/>
          <w:sz w:val="28"/>
          <w:szCs w:val="28"/>
          <w:lang w:val="en-US"/>
        </w:rPr>
        <w:t>stool type</w:t>
      </w:r>
      <w:r w:rsidRPr="006919CE">
        <w:rPr>
          <w:rFonts w:asciiTheme="majorBidi" w:hAnsiTheme="majorBidi" w:cstheme="majorBidi"/>
          <w:sz w:val="28"/>
          <w:szCs w:val="28"/>
          <w:lang w:val="en-US"/>
        </w:rPr>
        <w:t xml:space="preserve"> 4 on the Bristol scale) and a decrease in </w:t>
      </w:r>
      <w:r>
        <w:rPr>
          <w:rFonts w:asciiTheme="majorBidi" w:hAnsiTheme="majorBidi" w:cstheme="majorBidi"/>
          <w:sz w:val="28"/>
          <w:szCs w:val="28"/>
          <w:lang w:val="en-US"/>
        </w:rPr>
        <w:t>bodily</w:t>
      </w:r>
      <w:r w:rsidRPr="006919CE">
        <w:rPr>
          <w:rFonts w:asciiTheme="majorBidi" w:hAnsiTheme="majorBidi" w:cstheme="majorBidi"/>
          <w:sz w:val="28"/>
          <w:szCs w:val="28"/>
          <w:lang w:val="en-US"/>
        </w:rPr>
        <w:t xml:space="preserve"> pain. Unlike </w:t>
      </w:r>
      <w:r>
        <w:rPr>
          <w:rFonts w:asciiTheme="majorBidi" w:hAnsiTheme="majorBidi" w:cstheme="majorBidi"/>
          <w:sz w:val="28"/>
          <w:szCs w:val="28"/>
          <w:lang w:val="en-US"/>
        </w:rPr>
        <w:t>reference drug (</w:t>
      </w:r>
      <w:r w:rsidRPr="006919CE">
        <w:rPr>
          <w:rFonts w:asciiTheme="majorBidi" w:hAnsiTheme="majorBidi" w:cstheme="majorBidi"/>
          <w:sz w:val="28"/>
          <w:szCs w:val="28"/>
          <w:lang w:val="en-US"/>
        </w:rPr>
        <w:t>bismuthate</w:t>
      </w:r>
      <w:r>
        <w:rPr>
          <w:rFonts w:asciiTheme="majorBidi" w:hAnsiTheme="majorBidi" w:cstheme="majorBidi"/>
          <w:sz w:val="28"/>
          <w:szCs w:val="28"/>
          <w:lang w:val="en-US"/>
        </w:rPr>
        <w:t xml:space="preserve"> tripotassium </w:t>
      </w:r>
      <w:r w:rsidRPr="006919CE">
        <w:rPr>
          <w:rFonts w:asciiTheme="majorBidi" w:hAnsiTheme="majorBidi" w:cstheme="majorBidi"/>
          <w:sz w:val="28"/>
          <w:szCs w:val="28"/>
          <w:lang w:val="en-US"/>
        </w:rPr>
        <w:t>dicitrat</w:t>
      </w:r>
      <w:r>
        <w:rPr>
          <w:rFonts w:asciiTheme="majorBidi" w:hAnsiTheme="majorBidi" w:cstheme="majorBidi"/>
          <w:sz w:val="28"/>
          <w:szCs w:val="28"/>
          <w:lang w:val="en-US"/>
        </w:rPr>
        <w:t>e</w:t>
      </w:r>
      <w:r w:rsidRPr="006919CE">
        <w:rPr>
          <w:rFonts w:asciiTheme="majorBidi" w:hAnsiTheme="majorBidi" w:cstheme="majorBidi"/>
          <w:sz w:val="28"/>
          <w:szCs w:val="28"/>
          <w:lang w:val="en-US"/>
        </w:rPr>
        <w:t xml:space="preserve">), in the treatment of patients </w:t>
      </w:r>
      <w:r>
        <w:rPr>
          <w:rFonts w:asciiTheme="majorBidi" w:hAnsiTheme="majorBidi" w:cstheme="majorBidi"/>
          <w:sz w:val="28"/>
          <w:szCs w:val="28"/>
          <w:lang w:val="en-US"/>
        </w:rPr>
        <w:t>with Enterosgel</w:t>
      </w:r>
      <w:r w:rsidRPr="00BE1367">
        <w:rPr>
          <w:rFonts w:asciiTheme="majorBidi" w:hAnsiTheme="majorBidi" w:cstheme="majorBidi"/>
          <w:sz w:val="28"/>
          <w:szCs w:val="28"/>
          <w:vertAlign w:val="superscript"/>
          <w:lang w:val="en-US"/>
        </w:rPr>
        <w:t>®</w:t>
      </w:r>
      <w:r w:rsidRPr="006919CE">
        <w:rPr>
          <w:rFonts w:asciiTheme="majorBidi" w:hAnsiTheme="majorBidi" w:cstheme="majorBidi"/>
          <w:sz w:val="28"/>
          <w:szCs w:val="28"/>
          <w:lang w:val="en-US"/>
        </w:rPr>
        <w:t xml:space="preserve"> beneficial effect </w:t>
      </w:r>
      <w:r>
        <w:rPr>
          <w:rFonts w:asciiTheme="majorBidi" w:hAnsiTheme="majorBidi" w:cstheme="majorBidi"/>
          <w:sz w:val="28"/>
          <w:szCs w:val="28"/>
          <w:lang w:val="en-US"/>
        </w:rPr>
        <w:t xml:space="preserve">was detected </w:t>
      </w:r>
      <w:r w:rsidRPr="006919CE">
        <w:rPr>
          <w:rFonts w:asciiTheme="majorBidi" w:hAnsiTheme="majorBidi" w:cstheme="majorBidi"/>
          <w:sz w:val="28"/>
          <w:szCs w:val="28"/>
          <w:lang w:val="en-US"/>
        </w:rPr>
        <w:t>not only on subjective clinical IBS manifestations, but also</w:t>
      </w:r>
      <w:r>
        <w:rPr>
          <w:rFonts w:asciiTheme="majorBidi" w:hAnsiTheme="majorBidi" w:cstheme="majorBidi"/>
          <w:sz w:val="28"/>
          <w:szCs w:val="28"/>
          <w:lang w:val="en-US"/>
        </w:rPr>
        <w:t xml:space="preserve"> in</w:t>
      </w:r>
      <w:r w:rsidRPr="006919CE">
        <w:rPr>
          <w:rFonts w:asciiTheme="majorBidi" w:hAnsiTheme="majorBidi" w:cstheme="majorBidi"/>
          <w:sz w:val="28"/>
          <w:szCs w:val="28"/>
          <w:lang w:val="en-US"/>
        </w:rPr>
        <w:t xml:space="preserve"> normalizati</w:t>
      </w:r>
      <w:r>
        <w:rPr>
          <w:rFonts w:asciiTheme="majorBidi" w:hAnsiTheme="majorBidi" w:cstheme="majorBidi"/>
          <w:sz w:val="28"/>
          <w:szCs w:val="28"/>
          <w:lang w:val="en-US"/>
        </w:rPr>
        <w:t>on of stool frequency and form.</w:t>
      </w:r>
    </w:p>
    <w:p w:rsidR="000B0910" w:rsidRPr="00B039B9" w:rsidRDefault="000B0910" w:rsidP="000B0910">
      <w:pPr>
        <w:rPr>
          <w:rFonts w:asciiTheme="majorBidi" w:hAnsiTheme="majorBidi" w:cstheme="majorBidi"/>
          <w:sz w:val="28"/>
          <w:szCs w:val="28"/>
          <w:lang w:val="en-US"/>
        </w:rPr>
      </w:pPr>
      <w:r w:rsidRPr="00B039B9">
        <w:rPr>
          <w:rFonts w:asciiTheme="majorBidi" w:hAnsiTheme="majorBidi" w:cstheme="majorBidi"/>
          <w:sz w:val="28"/>
          <w:szCs w:val="28"/>
          <w:lang w:val="en-US"/>
        </w:rPr>
        <w:t xml:space="preserve">In </w:t>
      </w:r>
      <w:r>
        <w:rPr>
          <w:rFonts w:asciiTheme="majorBidi" w:hAnsiTheme="majorBidi" w:cstheme="majorBidi"/>
          <w:sz w:val="28"/>
          <w:szCs w:val="28"/>
          <w:lang w:val="en-US"/>
        </w:rPr>
        <w:t xml:space="preserve">the </w:t>
      </w:r>
      <w:r w:rsidRPr="00B039B9">
        <w:rPr>
          <w:rFonts w:asciiTheme="majorBidi" w:hAnsiTheme="majorBidi" w:cstheme="majorBidi"/>
          <w:sz w:val="28"/>
          <w:szCs w:val="28"/>
          <w:lang w:val="en-US"/>
        </w:rPr>
        <w:t xml:space="preserve">patients of the main group value of the total fasting GIT </w:t>
      </w:r>
      <w:r>
        <w:rPr>
          <w:rFonts w:asciiTheme="majorBidi" w:hAnsiTheme="majorBidi" w:cstheme="majorBidi"/>
          <w:sz w:val="28"/>
          <w:szCs w:val="28"/>
          <w:lang w:val="en-US"/>
        </w:rPr>
        <w:t xml:space="preserve">myoelectric activity </w:t>
      </w:r>
      <w:r w:rsidRPr="00B039B9">
        <w:rPr>
          <w:rFonts w:asciiTheme="majorBidi" w:hAnsiTheme="majorBidi" w:cstheme="majorBidi"/>
          <w:sz w:val="28"/>
          <w:szCs w:val="28"/>
          <w:lang w:val="en-US"/>
        </w:rPr>
        <w:t xml:space="preserve">before treatment was </w:t>
      </w:r>
      <w:r>
        <w:rPr>
          <w:rFonts w:asciiTheme="majorBidi" w:hAnsiTheme="majorBidi" w:cstheme="majorBidi"/>
          <w:sz w:val="28"/>
          <w:szCs w:val="28"/>
          <w:lang w:val="en-US"/>
        </w:rPr>
        <w:t>Me = 21.4 mV (Q1 = 16.</w:t>
      </w:r>
      <w:r w:rsidRPr="00B039B9">
        <w:rPr>
          <w:rFonts w:asciiTheme="majorBidi" w:hAnsiTheme="majorBidi" w:cstheme="majorBidi"/>
          <w:sz w:val="28"/>
          <w:szCs w:val="28"/>
          <w:lang w:val="en-US"/>
        </w:rPr>
        <w:t>0; Q3 = 42</w:t>
      </w:r>
      <w:r>
        <w:rPr>
          <w:rFonts w:asciiTheme="majorBidi" w:hAnsiTheme="majorBidi" w:cstheme="majorBidi"/>
          <w:sz w:val="28"/>
          <w:szCs w:val="28"/>
          <w:lang w:val="en-US"/>
        </w:rPr>
        <w:t>.</w:t>
      </w:r>
      <w:r w:rsidRPr="00B039B9">
        <w:rPr>
          <w:rFonts w:asciiTheme="majorBidi" w:hAnsiTheme="majorBidi" w:cstheme="majorBidi"/>
          <w:sz w:val="28"/>
          <w:szCs w:val="28"/>
          <w:lang w:val="en-US"/>
        </w:rPr>
        <w:t xml:space="preserve">5), </w:t>
      </w:r>
      <w:r>
        <w:rPr>
          <w:rFonts w:asciiTheme="majorBidi" w:hAnsiTheme="majorBidi" w:cstheme="majorBidi"/>
          <w:sz w:val="28"/>
          <w:szCs w:val="28"/>
          <w:lang w:val="en-US"/>
        </w:rPr>
        <w:t>postprandial - Me = 32.4 mV (Q1 = 16.</w:t>
      </w:r>
      <w:r w:rsidRPr="00B039B9">
        <w:rPr>
          <w:rFonts w:asciiTheme="majorBidi" w:hAnsiTheme="majorBidi" w:cstheme="majorBidi"/>
          <w:sz w:val="28"/>
          <w:szCs w:val="28"/>
          <w:lang w:val="en-US"/>
        </w:rPr>
        <w:t xml:space="preserve">7; </w:t>
      </w:r>
      <w:r>
        <w:rPr>
          <w:rFonts w:asciiTheme="majorBidi" w:hAnsiTheme="majorBidi" w:cstheme="majorBidi"/>
          <w:sz w:val="28"/>
          <w:szCs w:val="28"/>
          <w:lang w:val="en-US"/>
        </w:rPr>
        <w:t>Q3 = 59.</w:t>
      </w:r>
      <w:r w:rsidRPr="00B039B9">
        <w:rPr>
          <w:rFonts w:asciiTheme="majorBidi" w:hAnsiTheme="majorBidi" w:cstheme="majorBidi"/>
          <w:sz w:val="28"/>
          <w:szCs w:val="28"/>
          <w:lang w:val="en-US"/>
        </w:rPr>
        <w:t xml:space="preserve">6). </w:t>
      </w:r>
      <w:r>
        <w:rPr>
          <w:rFonts w:asciiTheme="majorBidi" w:hAnsiTheme="majorBidi" w:cstheme="majorBidi"/>
          <w:sz w:val="28"/>
          <w:szCs w:val="28"/>
          <w:lang w:val="en-US"/>
        </w:rPr>
        <w:t>D</w:t>
      </w:r>
      <w:r w:rsidRPr="00D42F80">
        <w:rPr>
          <w:rFonts w:asciiTheme="majorBidi" w:hAnsiTheme="majorBidi" w:cstheme="majorBidi"/>
          <w:sz w:val="28"/>
          <w:szCs w:val="28"/>
          <w:lang w:val="en-US"/>
        </w:rPr>
        <w:t>uring the treatment with</w:t>
      </w:r>
      <w:r>
        <w:rPr>
          <w:rFonts w:asciiTheme="majorBidi" w:hAnsiTheme="majorBidi" w:cstheme="majorBidi"/>
          <w:sz w:val="28"/>
          <w:szCs w:val="28"/>
          <w:lang w:val="en-US"/>
        </w:rPr>
        <w:t xml:space="preserve"> Enterosgel</w:t>
      </w:r>
      <w:r w:rsidRPr="00D42F80">
        <w:rPr>
          <w:rFonts w:asciiTheme="majorBidi" w:hAnsiTheme="majorBidi" w:cstheme="majorBidi"/>
          <w:sz w:val="28"/>
          <w:szCs w:val="28"/>
          <w:vertAlign w:val="superscript"/>
          <w:lang w:val="en-US"/>
        </w:rPr>
        <w:t>®</w:t>
      </w:r>
      <w:r w:rsidRPr="00B039B9">
        <w:rPr>
          <w:rFonts w:asciiTheme="majorBidi" w:hAnsiTheme="majorBidi" w:cstheme="majorBidi"/>
          <w:sz w:val="28"/>
          <w:szCs w:val="28"/>
          <w:lang w:val="en-US"/>
        </w:rPr>
        <w:t xml:space="preserve"> total fasting value </w:t>
      </w:r>
      <w:r>
        <w:rPr>
          <w:rFonts w:asciiTheme="majorBidi" w:hAnsiTheme="majorBidi" w:cstheme="majorBidi"/>
          <w:sz w:val="28"/>
          <w:szCs w:val="28"/>
          <w:lang w:val="en-US"/>
        </w:rPr>
        <w:t xml:space="preserve">of </w:t>
      </w:r>
      <w:r w:rsidRPr="00B039B9">
        <w:rPr>
          <w:rFonts w:asciiTheme="majorBidi" w:hAnsiTheme="majorBidi" w:cstheme="majorBidi"/>
          <w:sz w:val="28"/>
          <w:szCs w:val="28"/>
          <w:lang w:val="en-US"/>
        </w:rPr>
        <w:t>GI</w:t>
      </w:r>
      <w:r>
        <w:rPr>
          <w:rFonts w:asciiTheme="majorBidi" w:hAnsiTheme="majorBidi" w:cstheme="majorBidi"/>
          <w:sz w:val="28"/>
          <w:szCs w:val="28"/>
          <w:lang w:val="en-US"/>
        </w:rPr>
        <w:t>T</w:t>
      </w:r>
      <w:r w:rsidRPr="00B039B9">
        <w:rPr>
          <w:rFonts w:asciiTheme="majorBidi" w:hAnsiTheme="majorBidi" w:cstheme="majorBidi"/>
          <w:sz w:val="28"/>
          <w:szCs w:val="28"/>
          <w:lang w:val="en-US"/>
        </w:rPr>
        <w:t xml:space="preserve"> </w:t>
      </w:r>
      <w:r>
        <w:rPr>
          <w:rFonts w:asciiTheme="majorBidi" w:hAnsiTheme="majorBidi" w:cstheme="majorBidi"/>
          <w:sz w:val="28"/>
          <w:szCs w:val="28"/>
          <w:lang w:val="en-US"/>
        </w:rPr>
        <w:t>myoelectric activity was Me = 23.9 mV (Q1 = 11.2; Q3 = 46.</w:t>
      </w:r>
      <w:r w:rsidRPr="00B039B9">
        <w:rPr>
          <w:rFonts w:asciiTheme="majorBidi" w:hAnsiTheme="majorBidi" w:cstheme="majorBidi"/>
          <w:sz w:val="28"/>
          <w:szCs w:val="28"/>
          <w:lang w:val="en-US"/>
        </w:rPr>
        <w:t xml:space="preserve">9), </w:t>
      </w:r>
      <w:r>
        <w:rPr>
          <w:rFonts w:asciiTheme="majorBidi" w:hAnsiTheme="majorBidi" w:cstheme="majorBidi"/>
          <w:sz w:val="28"/>
          <w:szCs w:val="28"/>
          <w:lang w:val="en-US"/>
        </w:rPr>
        <w:t xml:space="preserve">postprandial - Me = 21.3 mV (Q1 = 14.4; Q3 </w:t>
      </w:r>
      <w:r>
        <w:rPr>
          <w:rFonts w:asciiTheme="majorBidi" w:hAnsiTheme="majorBidi" w:cstheme="majorBidi"/>
          <w:sz w:val="28"/>
          <w:szCs w:val="28"/>
          <w:lang w:val="en-US"/>
        </w:rPr>
        <w:lastRenderedPageBreak/>
        <w:t xml:space="preserve">= 40.9). Values </w:t>
      </w:r>
      <w:r w:rsidRPr="00B039B9">
        <w:rPr>
          <w:rFonts w:asciiTheme="majorBidi" w:hAnsiTheme="majorBidi" w:cstheme="majorBidi"/>
          <w:sz w:val="28"/>
          <w:szCs w:val="28"/>
          <w:lang w:val="en-US"/>
        </w:rPr>
        <w:t xml:space="preserve">before and after </w:t>
      </w:r>
      <w:r>
        <w:rPr>
          <w:rFonts w:asciiTheme="majorBidi" w:hAnsiTheme="majorBidi" w:cstheme="majorBidi"/>
          <w:sz w:val="28"/>
          <w:szCs w:val="28"/>
          <w:lang w:val="en-US"/>
        </w:rPr>
        <w:t>treatment</w:t>
      </w:r>
      <w:r w:rsidRPr="00B039B9">
        <w:rPr>
          <w:rFonts w:asciiTheme="majorBidi" w:hAnsiTheme="majorBidi" w:cstheme="majorBidi"/>
          <w:sz w:val="28"/>
          <w:szCs w:val="28"/>
          <w:lang w:val="en-US"/>
        </w:rPr>
        <w:t xml:space="preserve"> were not statistically different (p&gt; 0</w:t>
      </w:r>
      <w:r>
        <w:rPr>
          <w:rFonts w:asciiTheme="majorBidi" w:hAnsiTheme="majorBidi" w:cstheme="majorBidi"/>
          <w:sz w:val="28"/>
          <w:szCs w:val="28"/>
          <w:lang w:val="en-US"/>
        </w:rPr>
        <w:t>.</w:t>
      </w:r>
      <w:r w:rsidRPr="00B039B9">
        <w:rPr>
          <w:rFonts w:asciiTheme="majorBidi" w:hAnsiTheme="majorBidi" w:cstheme="majorBidi"/>
          <w:sz w:val="28"/>
          <w:szCs w:val="28"/>
          <w:lang w:val="en-US"/>
        </w:rPr>
        <w:t xml:space="preserve">05). </w:t>
      </w:r>
    </w:p>
    <w:p w:rsidR="000B0910" w:rsidRPr="00B039B9" w:rsidRDefault="000B0910" w:rsidP="000B0910">
      <w:pPr>
        <w:rPr>
          <w:rFonts w:asciiTheme="majorBidi" w:hAnsiTheme="majorBidi" w:cstheme="majorBidi"/>
          <w:sz w:val="28"/>
          <w:szCs w:val="28"/>
          <w:lang w:val="en-US"/>
        </w:rPr>
      </w:pPr>
      <w:r>
        <w:rPr>
          <w:rFonts w:asciiTheme="majorBidi" w:hAnsiTheme="majorBidi" w:cstheme="majorBidi"/>
          <w:sz w:val="28"/>
          <w:szCs w:val="28"/>
          <w:lang w:val="en-US"/>
        </w:rPr>
        <w:t>In p</w:t>
      </w:r>
      <w:r w:rsidRPr="00B039B9">
        <w:rPr>
          <w:rFonts w:asciiTheme="majorBidi" w:hAnsiTheme="majorBidi" w:cstheme="majorBidi"/>
          <w:sz w:val="28"/>
          <w:szCs w:val="28"/>
          <w:lang w:val="en-US"/>
        </w:rPr>
        <w:t xml:space="preserve">atients </w:t>
      </w:r>
      <w:r>
        <w:rPr>
          <w:rFonts w:asciiTheme="majorBidi" w:hAnsiTheme="majorBidi" w:cstheme="majorBidi"/>
          <w:sz w:val="28"/>
          <w:szCs w:val="28"/>
          <w:lang w:val="en-US"/>
        </w:rPr>
        <w:t>of</w:t>
      </w:r>
      <w:r w:rsidRPr="00B039B9">
        <w:rPr>
          <w:rFonts w:asciiTheme="majorBidi" w:hAnsiTheme="majorBidi" w:cstheme="majorBidi"/>
          <w:sz w:val="28"/>
          <w:szCs w:val="28"/>
          <w:lang w:val="en-US"/>
        </w:rPr>
        <w:t xml:space="preserve"> the control group value of the total GIT </w:t>
      </w:r>
      <w:r>
        <w:rPr>
          <w:rFonts w:asciiTheme="majorBidi" w:hAnsiTheme="majorBidi" w:cstheme="majorBidi"/>
          <w:sz w:val="28"/>
          <w:szCs w:val="28"/>
          <w:lang w:val="en-US"/>
        </w:rPr>
        <w:t xml:space="preserve">myoelectric activity </w:t>
      </w:r>
      <w:r w:rsidRPr="00B039B9">
        <w:rPr>
          <w:rFonts w:asciiTheme="majorBidi" w:hAnsiTheme="majorBidi" w:cstheme="majorBidi"/>
          <w:sz w:val="28"/>
          <w:szCs w:val="28"/>
          <w:lang w:val="en-US"/>
        </w:rPr>
        <w:t xml:space="preserve">before treatment </w:t>
      </w:r>
      <w:r>
        <w:rPr>
          <w:rFonts w:asciiTheme="majorBidi" w:hAnsiTheme="majorBidi" w:cstheme="majorBidi"/>
          <w:sz w:val="28"/>
          <w:szCs w:val="28"/>
          <w:lang w:val="en-US"/>
        </w:rPr>
        <w:t>was fasting Me = 21.</w:t>
      </w:r>
      <w:r w:rsidRPr="00B039B9">
        <w:rPr>
          <w:rFonts w:asciiTheme="majorBidi" w:hAnsiTheme="majorBidi" w:cstheme="majorBidi"/>
          <w:sz w:val="28"/>
          <w:szCs w:val="28"/>
          <w:lang w:val="en-US"/>
        </w:rPr>
        <w:t>2 mV (Q1 = 8</w:t>
      </w:r>
      <w:r>
        <w:rPr>
          <w:rFonts w:asciiTheme="majorBidi" w:hAnsiTheme="majorBidi" w:cstheme="majorBidi"/>
          <w:sz w:val="28"/>
          <w:szCs w:val="28"/>
          <w:lang w:val="en-US"/>
        </w:rPr>
        <w:t>.5; Q3 = 51.5), postprandial - Me = 18.2 mV (Q1 = 6.</w:t>
      </w:r>
      <w:r w:rsidRPr="00B039B9">
        <w:rPr>
          <w:rFonts w:asciiTheme="majorBidi" w:hAnsiTheme="majorBidi" w:cstheme="majorBidi"/>
          <w:sz w:val="28"/>
          <w:szCs w:val="28"/>
          <w:lang w:val="en-US"/>
        </w:rPr>
        <w:t>4; Q3 = 48</w:t>
      </w:r>
      <w:r>
        <w:rPr>
          <w:rFonts w:asciiTheme="majorBidi" w:hAnsiTheme="majorBidi" w:cstheme="majorBidi"/>
          <w:sz w:val="28"/>
          <w:szCs w:val="28"/>
          <w:lang w:val="en-US"/>
        </w:rPr>
        <w:t>.</w:t>
      </w:r>
      <w:r w:rsidRPr="00B039B9">
        <w:rPr>
          <w:rFonts w:asciiTheme="majorBidi" w:hAnsiTheme="majorBidi" w:cstheme="majorBidi"/>
          <w:sz w:val="28"/>
          <w:szCs w:val="28"/>
          <w:lang w:val="en-US"/>
        </w:rPr>
        <w:t xml:space="preserve">8). </w:t>
      </w:r>
      <w:r>
        <w:rPr>
          <w:rFonts w:asciiTheme="majorBidi" w:hAnsiTheme="majorBidi" w:cstheme="majorBidi"/>
          <w:sz w:val="28"/>
          <w:szCs w:val="28"/>
          <w:lang w:val="en-US"/>
        </w:rPr>
        <w:t>after a course of the</w:t>
      </w:r>
      <w:r w:rsidRPr="00B039B9">
        <w:rPr>
          <w:rFonts w:asciiTheme="majorBidi" w:hAnsiTheme="majorBidi" w:cstheme="majorBidi"/>
          <w:sz w:val="28"/>
          <w:szCs w:val="28"/>
          <w:lang w:val="en-US"/>
        </w:rPr>
        <w:t xml:space="preserve"> comparator drug total fasting value </w:t>
      </w:r>
      <w:r>
        <w:rPr>
          <w:rFonts w:asciiTheme="majorBidi" w:hAnsiTheme="majorBidi" w:cstheme="majorBidi"/>
          <w:sz w:val="28"/>
          <w:szCs w:val="28"/>
          <w:lang w:val="en-US"/>
        </w:rPr>
        <w:t xml:space="preserve">of </w:t>
      </w:r>
      <w:r w:rsidRPr="00B039B9">
        <w:rPr>
          <w:rFonts w:asciiTheme="majorBidi" w:hAnsiTheme="majorBidi" w:cstheme="majorBidi"/>
          <w:sz w:val="28"/>
          <w:szCs w:val="28"/>
          <w:lang w:val="en-US"/>
        </w:rPr>
        <w:t>GI</w:t>
      </w:r>
      <w:r>
        <w:rPr>
          <w:rFonts w:asciiTheme="majorBidi" w:hAnsiTheme="majorBidi" w:cstheme="majorBidi"/>
          <w:sz w:val="28"/>
          <w:szCs w:val="28"/>
          <w:lang w:val="en-US"/>
        </w:rPr>
        <w:t>T</w:t>
      </w:r>
      <w:r w:rsidRPr="00B039B9">
        <w:rPr>
          <w:rFonts w:asciiTheme="majorBidi" w:hAnsiTheme="majorBidi" w:cstheme="majorBidi"/>
          <w:sz w:val="28"/>
          <w:szCs w:val="28"/>
          <w:lang w:val="en-US"/>
        </w:rPr>
        <w:t xml:space="preserve"> </w:t>
      </w:r>
      <w:r>
        <w:rPr>
          <w:rFonts w:asciiTheme="majorBidi" w:hAnsiTheme="majorBidi" w:cstheme="majorBidi"/>
          <w:sz w:val="28"/>
          <w:szCs w:val="28"/>
          <w:lang w:val="en-US"/>
        </w:rPr>
        <w:t>myoelectric activity was</w:t>
      </w:r>
      <w:r w:rsidRPr="00B039B9">
        <w:rPr>
          <w:rFonts w:asciiTheme="majorBidi" w:hAnsiTheme="majorBidi" w:cstheme="majorBidi"/>
          <w:sz w:val="28"/>
          <w:szCs w:val="28"/>
          <w:lang w:val="en-US"/>
        </w:rPr>
        <w:t xml:space="preserve"> </w:t>
      </w:r>
      <w:r>
        <w:rPr>
          <w:rFonts w:asciiTheme="majorBidi" w:hAnsiTheme="majorBidi" w:cstheme="majorBidi"/>
          <w:sz w:val="28"/>
          <w:szCs w:val="28"/>
          <w:lang w:val="en-US"/>
        </w:rPr>
        <w:t>Me = 39.</w:t>
      </w:r>
      <w:r w:rsidRPr="00B039B9">
        <w:rPr>
          <w:rFonts w:asciiTheme="majorBidi" w:hAnsiTheme="majorBidi" w:cstheme="majorBidi"/>
          <w:sz w:val="28"/>
          <w:szCs w:val="28"/>
          <w:lang w:val="en-US"/>
        </w:rPr>
        <w:t>4 mV (Q1 =</w:t>
      </w:r>
      <w:r>
        <w:rPr>
          <w:rFonts w:asciiTheme="majorBidi" w:hAnsiTheme="majorBidi" w:cstheme="majorBidi"/>
          <w:sz w:val="28"/>
          <w:szCs w:val="28"/>
          <w:lang w:val="en-US"/>
        </w:rPr>
        <w:t xml:space="preserve"> 8.</w:t>
      </w:r>
      <w:r w:rsidRPr="00B039B9">
        <w:rPr>
          <w:rFonts w:asciiTheme="majorBidi" w:hAnsiTheme="majorBidi" w:cstheme="majorBidi"/>
          <w:sz w:val="28"/>
          <w:szCs w:val="28"/>
          <w:lang w:val="en-US"/>
        </w:rPr>
        <w:t>3; Q3 = 53</w:t>
      </w:r>
      <w:r>
        <w:rPr>
          <w:rFonts w:asciiTheme="majorBidi" w:hAnsiTheme="majorBidi" w:cstheme="majorBidi"/>
          <w:sz w:val="28"/>
          <w:szCs w:val="28"/>
          <w:lang w:val="en-US"/>
        </w:rPr>
        <w:t>.</w:t>
      </w:r>
      <w:r w:rsidRPr="00B039B9">
        <w:rPr>
          <w:rFonts w:asciiTheme="majorBidi" w:hAnsiTheme="majorBidi" w:cstheme="majorBidi"/>
          <w:sz w:val="28"/>
          <w:szCs w:val="28"/>
          <w:lang w:val="en-US"/>
        </w:rPr>
        <w:t xml:space="preserve">4), </w:t>
      </w:r>
      <w:r>
        <w:rPr>
          <w:rFonts w:asciiTheme="majorBidi" w:hAnsiTheme="majorBidi" w:cstheme="majorBidi"/>
          <w:sz w:val="28"/>
          <w:szCs w:val="28"/>
          <w:lang w:val="en-US"/>
        </w:rPr>
        <w:t>postprandial - Me = 11.8 mV (Q1 = 10.</w:t>
      </w:r>
      <w:r w:rsidRPr="00B039B9">
        <w:rPr>
          <w:rFonts w:asciiTheme="majorBidi" w:hAnsiTheme="majorBidi" w:cstheme="majorBidi"/>
          <w:sz w:val="28"/>
          <w:szCs w:val="28"/>
          <w:lang w:val="en-US"/>
        </w:rPr>
        <w:t xml:space="preserve">1; Q3 = 38.3) The values before and after </w:t>
      </w:r>
      <w:r>
        <w:rPr>
          <w:rFonts w:asciiTheme="majorBidi" w:hAnsiTheme="majorBidi" w:cstheme="majorBidi"/>
          <w:sz w:val="28"/>
          <w:szCs w:val="28"/>
          <w:lang w:val="en-US"/>
        </w:rPr>
        <w:t>treatment</w:t>
      </w:r>
      <w:r w:rsidRPr="00B039B9">
        <w:rPr>
          <w:rFonts w:asciiTheme="majorBidi" w:hAnsiTheme="majorBidi" w:cstheme="majorBidi"/>
          <w:sz w:val="28"/>
          <w:szCs w:val="28"/>
          <w:lang w:val="en-US"/>
        </w:rPr>
        <w:t xml:space="preserve"> were</w:t>
      </w:r>
      <w:r>
        <w:rPr>
          <w:rFonts w:asciiTheme="majorBidi" w:hAnsiTheme="majorBidi" w:cstheme="majorBidi"/>
          <w:sz w:val="28"/>
          <w:szCs w:val="28"/>
          <w:lang w:val="en-US"/>
        </w:rPr>
        <w:t xml:space="preserve"> also</w:t>
      </w:r>
      <w:r w:rsidRPr="00B039B9">
        <w:rPr>
          <w:rFonts w:asciiTheme="majorBidi" w:hAnsiTheme="majorBidi" w:cstheme="majorBidi"/>
          <w:sz w:val="28"/>
          <w:szCs w:val="28"/>
          <w:lang w:val="en-US"/>
        </w:rPr>
        <w:t xml:space="preserve"> no</w:t>
      </w:r>
      <w:r>
        <w:rPr>
          <w:rFonts w:asciiTheme="majorBidi" w:hAnsiTheme="majorBidi" w:cstheme="majorBidi"/>
          <w:sz w:val="28"/>
          <w:szCs w:val="28"/>
          <w:lang w:val="en-US"/>
        </w:rPr>
        <w:t>t statistically different (p&gt; 0.05).</w:t>
      </w:r>
    </w:p>
    <w:p w:rsidR="00304D0B" w:rsidRDefault="00304D0B" w:rsidP="00304D0B">
      <w:pPr>
        <w:rPr>
          <w:rFonts w:asciiTheme="majorBidi" w:hAnsiTheme="majorBidi" w:cstheme="majorBidi"/>
          <w:sz w:val="28"/>
          <w:szCs w:val="28"/>
          <w:lang w:val="en-US"/>
        </w:rPr>
      </w:pPr>
      <w:r w:rsidRPr="005A4F49">
        <w:rPr>
          <w:rFonts w:asciiTheme="majorBidi" w:hAnsiTheme="majorBidi" w:cstheme="majorBidi"/>
          <w:sz w:val="28"/>
          <w:szCs w:val="28"/>
          <w:lang w:val="en-US"/>
        </w:rPr>
        <w:t>PP</w:t>
      </w:r>
      <w:r w:rsidRPr="0079277B">
        <w:rPr>
          <w:rFonts w:asciiTheme="majorBidi" w:hAnsiTheme="majorBidi" w:cstheme="majorBidi"/>
          <w:sz w:val="28"/>
          <w:szCs w:val="28"/>
          <w:lang w:val="en-US"/>
        </w:rPr>
        <w:t xml:space="preserve">C in patients </w:t>
      </w:r>
      <w:r>
        <w:rPr>
          <w:rFonts w:asciiTheme="majorBidi" w:hAnsiTheme="majorBidi" w:cstheme="majorBidi"/>
          <w:sz w:val="28"/>
          <w:szCs w:val="28"/>
          <w:lang w:val="en-US"/>
        </w:rPr>
        <w:t xml:space="preserve">of the main </w:t>
      </w:r>
      <w:r w:rsidRPr="0079277B">
        <w:rPr>
          <w:rFonts w:asciiTheme="majorBidi" w:hAnsiTheme="majorBidi" w:cstheme="majorBidi"/>
          <w:sz w:val="28"/>
          <w:szCs w:val="28"/>
          <w:lang w:val="en-US"/>
        </w:rPr>
        <w:t xml:space="preserve">and control group before and after treatment </w:t>
      </w:r>
      <w:r>
        <w:rPr>
          <w:rFonts w:asciiTheme="majorBidi" w:hAnsiTheme="majorBidi" w:cstheme="majorBidi"/>
          <w:sz w:val="28"/>
          <w:szCs w:val="28"/>
          <w:lang w:val="en-US"/>
        </w:rPr>
        <w:t>is</w:t>
      </w:r>
      <w:r w:rsidRPr="0079277B">
        <w:rPr>
          <w:rFonts w:asciiTheme="majorBidi" w:hAnsiTheme="majorBidi" w:cstheme="majorBidi"/>
          <w:sz w:val="28"/>
          <w:szCs w:val="28"/>
          <w:lang w:val="en-US"/>
        </w:rPr>
        <w:t xml:space="preserve"> shown in Figure 7.</w:t>
      </w:r>
    </w:p>
    <w:p w:rsidR="00304D0B" w:rsidRDefault="00304D0B" w:rsidP="00304D0B">
      <w:pPr>
        <w:rPr>
          <w:rFonts w:asciiTheme="majorBidi" w:hAnsiTheme="majorBidi" w:cstheme="majorBidi"/>
          <w:sz w:val="28"/>
          <w:szCs w:val="28"/>
          <w:lang w:val="en-US"/>
        </w:rPr>
      </w:pPr>
    </w:p>
    <w:p w:rsidR="00304D0B" w:rsidRDefault="00304D0B" w:rsidP="00304D0B">
      <w:pPr>
        <w:rPr>
          <w:rFonts w:asciiTheme="majorBidi" w:hAnsiTheme="majorBidi" w:cstheme="majorBidi"/>
          <w:sz w:val="28"/>
          <w:szCs w:val="28"/>
          <w:lang w:val="en-US"/>
        </w:rPr>
      </w:pPr>
      <w:r w:rsidRPr="00A67D37">
        <w:rPr>
          <w:noProof/>
          <w:sz w:val="28"/>
          <w:szCs w:val="28"/>
          <w:lang w:val="en-NZ" w:eastAsia="en-NZ"/>
        </w:rPr>
        <w:drawing>
          <wp:inline distT="0" distB="0" distL="0" distR="0" wp14:anchorId="78E53868" wp14:editId="0CB1D3FD">
            <wp:extent cx="5418499" cy="4343400"/>
            <wp:effectExtent l="19050" t="0" r="0" b="0"/>
            <wp:docPr id="1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418499" cy="4343400"/>
                    </a:xfrm>
                    <a:prstGeom prst="rect">
                      <a:avLst/>
                    </a:prstGeom>
                    <a:noFill/>
                    <a:ln w="9525">
                      <a:noFill/>
                      <a:miter lim="800000"/>
                      <a:headEnd/>
                      <a:tailEnd/>
                    </a:ln>
                  </pic:spPr>
                </pic:pic>
              </a:graphicData>
            </a:graphic>
          </wp:inline>
        </w:drawing>
      </w:r>
    </w:p>
    <w:p w:rsidR="00304D0B" w:rsidRDefault="00304D0B" w:rsidP="00304D0B">
      <w:pPr>
        <w:rPr>
          <w:rFonts w:asciiTheme="majorBidi" w:hAnsiTheme="majorBidi" w:cstheme="majorBidi"/>
          <w:sz w:val="28"/>
          <w:szCs w:val="28"/>
          <w:lang w:val="en-US"/>
        </w:rPr>
      </w:pPr>
      <w:r w:rsidRPr="00B039B9">
        <w:rPr>
          <w:rFonts w:asciiTheme="majorBidi" w:hAnsiTheme="majorBidi" w:cstheme="majorBidi"/>
          <w:sz w:val="28"/>
          <w:szCs w:val="28"/>
          <w:lang w:val="en-US"/>
        </w:rPr>
        <w:lastRenderedPageBreak/>
        <w:t xml:space="preserve">Fig. 7. The value of </w:t>
      </w:r>
      <w:r>
        <w:rPr>
          <w:rFonts w:asciiTheme="majorBidi" w:hAnsiTheme="majorBidi" w:cstheme="majorBidi"/>
          <w:sz w:val="28"/>
          <w:szCs w:val="28"/>
          <w:lang w:val="en-US"/>
        </w:rPr>
        <w:t>postprandial</w:t>
      </w:r>
      <w:r w:rsidRPr="00B039B9">
        <w:rPr>
          <w:rFonts w:asciiTheme="majorBidi" w:hAnsiTheme="majorBidi" w:cstheme="majorBidi"/>
          <w:sz w:val="28"/>
          <w:szCs w:val="28"/>
          <w:lang w:val="en-US"/>
        </w:rPr>
        <w:t xml:space="preserve"> coefficient of </w:t>
      </w:r>
      <w:r>
        <w:rPr>
          <w:rFonts w:asciiTheme="majorBidi" w:hAnsiTheme="majorBidi" w:cstheme="majorBidi"/>
          <w:sz w:val="28"/>
          <w:szCs w:val="28"/>
          <w:lang w:val="en-US"/>
        </w:rPr>
        <w:t>GIT myoelectric activity</w:t>
      </w:r>
      <w:r w:rsidRPr="00B039B9">
        <w:rPr>
          <w:rFonts w:asciiTheme="majorBidi" w:hAnsiTheme="majorBidi" w:cstheme="majorBidi"/>
          <w:sz w:val="28"/>
          <w:szCs w:val="28"/>
          <w:lang w:val="en-US"/>
        </w:rPr>
        <w:t xml:space="preserve"> in patients </w:t>
      </w:r>
      <w:r>
        <w:rPr>
          <w:rFonts w:asciiTheme="majorBidi" w:hAnsiTheme="majorBidi" w:cstheme="majorBidi"/>
          <w:sz w:val="28"/>
          <w:szCs w:val="28"/>
          <w:lang w:val="en-US"/>
        </w:rPr>
        <w:t xml:space="preserve">of the main </w:t>
      </w:r>
      <w:r w:rsidRPr="00B039B9">
        <w:rPr>
          <w:rFonts w:asciiTheme="majorBidi" w:hAnsiTheme="majorBidi" w:cstheme="majorBidi"/>
          <w:sz w:val="28"/>
          <w:szCs w:val="28"/>
          <w:lang w:val="en-US"/>
        </w:rPr>
        <w:t xml:space="preserve">and control group before and after </w:t>
      </w:r>
      <w:r>
        <w:rPr>
          <w:rFonts w:asciiTheme="majorBidi" w:hAnsiTheme="majorBidi" w:cstheme="majorBidi"/>
          <w:sz w:val="28"/>
          <w:szCs w:val="28"/>
          <w:lang w:val="en-US"/>
        </w:rPr>
        <w:t>treatment</w:t>
      </w:r>
      <w:r w:rsidRPr="00B039B9">
        <w:rPr>
          <w:rFonts w:asciiTheme="majorBidi" w:hAnsiTheme="majorBidi" w:cstheme="majorBidi"/>
          <w:sz w:val="28"/>
          <w:szCs w:val="28"/>
          <w:lang w:val="en-US"/>
        </w:rPr>
        <w:t xml:space="preserve">. </w:t>
      </w:r>
      <w:r>
        <w:rPr>
          <w:rFonts w:asciiTheme="majorBidi" w:hAnsiTheme="majorBidi" w:cstheme="majorBidi"/>
          <w:sz w:val="28"/>
          <w:szCs w:val="28"/>
          <w:lang w:val="en-US"/>
        </w:rPr>
        <w:t>Horizontal line</w:t>
      </w:r>
      <w:r w:rsidRPr="00B039B9">
        <w:rPr>
          <w:rFonts w:asciiTheme="majorBidi" w:hAnsiTheme="majorBidi" w:cstheme="majorBidi"/>
          <w:sz w:val="28"/>
          <w:szCs w:val="28"/>
          <w:lang w:val="en-US"/>
        </w:rPr>
        <w:t xml:space="preserve"> - </w:t>
      </w:r>
      <w:r>
        <w:rPr>
          <w:rFonts w:asciiTheme="majorBidi" w:hAnsiTheme="majorBidi" w:cstheme="majorBidi"/>
          <w:sz w:val="28"/>
          <w:szCs w:val="28"/>
          <w:lang w:val="en-US"/>
        </w:rPr>
        <w:t>observation</w:t>
      </w:r>
      <w:r w:rsidRPr="00B039B9">
        <w:rPr>
          <w:rFonts w:asciiTheme="majorBidi" w:hAnsiTheme="majorBidi" w:cstheme="majorBidi"/>
          <w:sz w:val="28"/>
          <w:szCs w:val="28"/>
          <w:lang w:val="en-US"/>
        </w:rPr>
        <w:t xml:space="preserve"> group,</w:t>
      </w:r>
      <w:r>
        <w:rPr>
          <w:rFonts w:asciiTheme="majorBidi" w:hAnsiTheme="majorBidi" w:cstheme="majorBidi"/>
          <w:sz w:val="28"/>
          <w:szCs w:val="28"/>
          <w:lang w:val="en-US"/>
        </w:rPr>
        <w:t xml:space="preserve"> vertical axis - the value of PP</w:t>
      </w:r>
      <w:r w:rsidRPr="00B039B9">
        <w:rPr>
          <w:rFonts w:asciiTheme="majorBidi" w:hAnsiTheme="majorBidi" w:cstheme="majorBidi"/>
          <w:sz w:val="28"/>
          <w:szCs w:val="28"/>
          <w:lang w:val="en-US"/>
        </w:rPr>
        <w:t>C</w:t>
      </w:r>
      <w:r>
        <w:rPr>
          <w:rFonts w:asciiTheme="majorBidi" w:hAnsiTheme="majorBidi" w:cstheme="majorBidi"/>
          <w:sz w:val="28"/>
          <w:szCs w:val="28"/>
          <w:lang w:val="en-US"/>
        </w:rPr>
        <w:t>,</w:t>
      </w:r>
      <w:r w:rsidRPr="00B039B9">
        <w:rPr>
          <w:rFonts w:asciiTheme="majorBidi" w:hAnsiTheme="majorBidi" w:cstheme="majorBidi"/>
          <w:sz w:val="28"/>
          <w:szCs w:val="28"/>
          <w:lang w:val="en-US"/>
        </w:rPr>
        <w:t xml:space="preserve"> units. The dotted line is </w:t>
      </w:r>
      <w:r>
        <w:rPr>
          <w:rFonts w:asciiTheme="majorBidi" w:hAnsiTheme="majorBidi" w:cstheme="majorBidi"/>
          <w:sz w:val="28"/>
          <w:szCs w:val="28"/>
          <w:lang w:val="en-US"/>
        </w:rPr>
        <w:t>the postprandial factor equal to 1.0.</w:t>
      </w:r>
    </w:p>
    <w:p w:rsidR="00304D0B" w:rsidRDefault="00304D0B" w:rsidP="00304D0B">
      <w:pPr>
        <w:rPr>
          <w:rFonts w:asciiTheme="majorBidi" w:hAnsiTheme="majorBidi" w:cstheme="majorBidi"/>
          <w:lang w:val="en-US"/>
        </w:rPr>
      </w:pPr>
      <w:r>
        <w:rPr>
          <w:rFonts w:asciiTheme="majorBidi" w:hAnsiTheme="majorBidi" w:cstheme="majorBidi"/>
          <w:lang w:val="en-US"/>
        </w:rPr>
        <w:t>Figure captions: &lt;Beginning of treatment – End of treatment</w:t>
      </w:r>
    </w:p>
    <w:p w:rsidR="00304D0B" w:rsidRPr="000B6E37" w:rsidRDefault="00304D0B" w:rsidP="00304D0B">
      <w:pPr>
        <w:rPr>
          <w:rFonts w:asciiTheme="majorBidi" w:hAnsiTheme="majorBidi" w:cstheme="majorBidi"/>
          <w:lang w:val="en-US"/>
        </w:rPr>
      </w:pPr>
      <w:r>
        <w:rPr>
          <w:rFonts w:asciiTheme="majorBidi" w:hAnsiTheme="majorBidi" w:cstheme="majorBidi"/>
          <w:lang w:val="en-US"/>
        </w:rPr>
        <w:t>AUC value, U – Main group – Control group&gt;</w:t>
      </w:r>
    </w:p>
    <w:p w:rsidR="001E2BCD" w:rsidRPr="008B128B" w:rsidRDefault="001E2BCD" w:rsidP="001E2BCD">
      <w:pPr>
        <w:rPr>
          <w:rFonts w:asciiTheme="majorBidi" w:hAnsiTheme="majorBidi" w:cstheme="majorBidi"/>
          <w:sz w:val="28"/>
          <w:szCs w:val="28"/>
          <w:lang w:val="en-US"/>
        </w:rPr>
      </w:pPr>
      <w:r>
        <w:rPr>
          <w:rFonts w:asciiTheme="majorBidi" w:hAnsiTheme="majorBidi" w:cstheme="majorBidi"/>
          <w:sz w:val="28"/>
          <w:szCs w:val="28"/>
          <w:lang w:val="en-US"/>
        </w:rPr>
        <w:t xml:space="preserve">in </w:t>
      </w:r>
      <w:r w:rsidRPr="008B128B">
        <w:rPr>
          <w:rFonts w:asciiTheme="majorBidi" w:hAnsiTheme="majorBidi" w:cstheme="majorBidi"/>
          <w:sz w:val="28"/>
          <w:szCs w:val="28"/>
          <w:lang w:val="en-US"/>
        </w:rPr>
        <w:t>12 patients (40</w:t>
      </w:r>
      <w:r>
        <w:rPr>
          <w:rFonts w:asciiTheme="majorBidi" w:hAnsiTheme="majorBidi" w:cstheme="majorBidi"/>
          <w:sz w:val="28"/>
          <w:szCs w:val="28"/>
          <w:lang w:val="en-US"/>
        </w:rPr>
        <w:t>%) a decrease in PP</w:t>
      </w:r>
      <w:r w:rsidRPr="008B128B">
        <w:rPr>
          <w:rFonts w:asciiTheme="majorBidi" w:hAnsiTheme="majorBidi" w:cstheme="majorBidi"/>
          <w:sz w:val="28"/>
          <w:szCs w:val="28"/>
          <w:lang w:val="en-US"/>
        </w:rPr>
        <w:t>C</w:t>
      </w:r>
      <w:r>
        <w:rPr>
          <w:rFonts w:asciiTheme="majorBidi" w:hAnsiTheme="majorBidi" w:cstheme="majorBidi"/>
          <w:sz w:val="28"/>
          <w:szCs w:val="28"/>
          <w:lang w:val="en-US"/>
        </w:rPr>
        <w:t xml:space="preserve"> was observed</w:t>
      </w:r>
      <w:r w:rsidRPr="008B128B">
        <w:rPr>
          <w:rFonts w:asciiTheme="majorBidi" w:hAnsiTheme="majorBidi" w:cstheme="majorBidi"/>
          <w:sz w:val="28"/>
          <w:szCs w:val="28"/>
          <w:lang w:val="en-US"/>
        </w:rPr>
        <w:t xml:space="preserve"> </w:t>
      </w:r>
      <w:r>
        <w:rPr>
          <w:rFonts w:asciiTheme="majorBidi" w:hAnsiTheme="majorBidi" w:cstheme="majorBidi"/>
          <w:sz w:val="28"/>
          <w:szCs w:val="28"/>
          <w:lang w:val="en-US"/>
        </w:rPr>
        <w:t>(</w:t>
      </w:r>
      <w:r w:rsidRPr="008B128B">
        <w:rPr>
          <w:rFonts w:asciiTheme="majorBidi" w:hAnsiTheme="majorBidi" w:cstheme="majorBidi"/>
          <w:sz w:val="28"/>
          <w:szCs w:val="28"/>
          <w:lang w:val="en-US"/>
        </w:rPr>
        <w:t>&lt;1.0</w:t>
      </w:r>
      <w:r>
        <w:rPr>
          <w:rFonts w:asciiTheme="majorBidi" w:hAnsiTheme="majorBidi" w:cstheme="majorBidi"/>
          <w:sz w:val="28"/>
          <w:szCs w:val="28"/>
          <w:lang w:val="en-US"/>
        </w:rPr>
        <w:t>)</w:t>
      </w:r>
      <w:r w:rsidRPr="008B128B">
        <w:rPr>
          <w:rFonts w:asciiTheme="majorBidi" w:hAnsiTheme="majorBidi" w:cstheme="majorBidi"/>
          <w:sz w:val="28"/>
          <w:szCs w:val="28"/>
          <w:lang w:val="en-US"/>
        </w:rPr>
        <w:t>, reaching in 7 patients (23</w:t>
      </w:r>
      <w:r>
        <w:rPr>
          <w:rFonts w:asciiTheme="majorBidi" w:hAnsiTheme="majorBidi" w:cstheme="majorBidi"/>
          <w:sz w:val="28"/>
          <w:szCs w:val="28"/>
          <w:lang w:val="en-US"/>
        </w:rPr>
        <w:t>%</w:t>
      </w:r>
      <w:r w:rsidRPr="008B128B">
        <w:rPr>
          <w:rFonts w:asciiTheme="majorBidi" w:hAnsiTheme="majorBidi" w:cstheme="majorBidi"/>
          <w:sz w:val="28"/>
          <w:szCs w:val="28"/>
          <w:lang w:val="en-US"/>
        </w:rPr>
        <w:t>) values &lt;0.6. After treatment in 16 patients (53</w:t>
      </w:r>
      <w:r>
        <w:rPr>
          <w:rFonts w:asciiTheme="majorBidi" w:hAnsiTheme="majorBidi" w:cstheme="majorBidi"/>
          <w:sz w:val="28"/>
          <w:szCs w:val="28"/>
          <w:lang w:val="en-US"/>
        </w:rPr>
        <w:t>%) a reduction in PP</w:t>
      </w:r>
      <w:r w:rsidRPr="008B128B">
        <w:rPr>
          <w:rFonts w:asciiTheme="majorBidi" w:hAnsiTheme="majorBidi" w:cstheme="majorBidi"/>
          <w:sz w:val="28"/>
          <w:szCs w:val="28"/>
          <w:lang w:val="en-US"/>
        </w:rPr>
        <w:t xml:space="preserve">C </w:t>
      </w:r>
      <w:r>
        <w:rPr>
          <w:rFonts w:asciiTheme="majorBidi" w:hAnsiTheme="majorBidi" w:cstheme="majorBidi"/>
          <w:sz w:val="28"/>
          <w:szCs w:val="28"/>
          <w:lang w:val="en-US"/>
        </w:rPr>
        <w:t>was observed (</w:t>
      </w:r>
      <w:r w:rsidRPr="008B128B">
        <w:rPr>
          <w:rFonts w:asciiTheme="majorBidi" w:hAnsiTheme="majorBidi" w:cstheme="majorBidi"/>
          <w:sz w:val="28"/>
          <w:szCs w:val="28"/>
          <w:lang w:val="en-US"/>
        </w:rPr>
        <w:t>&lt;1.0</w:t>
      </w:r>
      <w:r>
        <w:rPr>
          <w:rFonts w:asciiTheme="majorBidi" w:hAnsiTheme="majorBidi" w:cstheme="majorBidi"/>
          <w:sz w:val="28"/>
          <w:szCs w:val="28"/>
          <w:lang w:val="en-US"/>
        </w:rPr>
        <w:t>), while</w:t>
      </w:r>
      <w:r w:rsidRPr="008B128B">
        <w:rPr>
          <w:rFonts w:asciiTheme="majorBidi" w:hAnsiTheme="majorBidi" w:cstheme="majorBidi"/>
          <w:sz w:val="28"/>
          <w:szCs w:val="28"/>
          <w:lang w:val="en-US"/>
        </w:rPr>
        <w:t xml:space="preserve"> </w:t>
      </w:r>
      <w:r>
        <w:rPr>
          <w:rFonts w:asciiTheme="majorBidi" w:hAnsiTheme="majorBidi" w:cstheme="majorBidi"/>
          <w:sz w:val="28"/>
          <w:szCs w:val="28"/>
          <w:lang w:val="en-US"/>
        </w:rPr>
        <w:t>PP</w:t>
      </w:r>
      <w:r w:rsidRPr="008B128B">
        <w:rPr>
          <w:rFonts w:asciiTheme="majorBidi" w:hAnsiTheme="majorBidi" w:cstheme="majorBidi"/>
          <w:sz w:val="28"/>
          <w:szCs w:val="28"/>
          <w:lang w:val="en-US"/>
        </w:rPr>
        <w:t xml:space="preserve">C </w:t>
      </w:r>
      <w:r>
        <w:rPr>
          <w:rFonts w:asciiTheme="majorBidi" w:hAnsiTheme="majorBidi" w:cstheme="majorBidi"/>
          <w:sz w:val="28"/>
          <w:szCs w:val="28"/>
          <w:lang w:val="en-US"/>
        </w:rPr>
        <w:t>increase</w:t>
      </w:r>
      <w:r w:rsidRPr="008B128B">
        <w:rPr>
          <w:rFonts w:asciiTheme="majorBidi" w:hAnsiTheme="majorBidi" w:cstheme="majorBidi"/>
          <w:sz w:val="28"/>
          <w:szCs w:val="28"/>
          <w:lang w:val="en-US"/>
        </w:rPr>
        <w:t xml:space="preserve"> </w:t>
      </w:r>
      <w:r>
        <w:rPr>
          <w:rFonts w:asciiTheme="majorBidi" w:hAnsiTheme="majorBidi" w:cstheme="majorBidi"/>
          <w:sz w:val="28"/>
          <w:szCs w:val="28"/>
          <w:lang w:val="en-US"/>
        </w:rPr>
        <w:t>(</w:t>
      </w:r>
      <w:r w:rsidRPr="008B128B">
        <w:rPr>
          <w:rFonts w:asciiTheme="majorBidi" w:hAnsiTheme="majorBidi" w:cstheme="majorBidi"/>
          <w:sz w:val="28"/>
          <w:szCs w:val="28"/>
          <w:lang w:val="en-US"/>
        </w:rPr>
        <w:t>&gt; 1.5</w:t>
      </w:r>
      <w:r>
        <w:rPr>
          <w:rFonts w:asciiTheme="majorBidi" w:hAnsiTheme="majorBidi" w:cstheme="majorBidi"/>
          <w:sz w:val="28"/>
          <w:szCs w:val="28"/>
          <w:lang w:val="en-US"/>
        </w:rPr>
        <w:t>)</w:t>
      </w:r>
      <w:r w:rsidRPr="008B128B">
        <w:rPr>
          <w:rFonts w:asciiTheme="majorBidi" w:hAnsiTheme="majorBidi" w:cstheme="majorBidi"/>
          <w:sz w:val="28"/>
          <w:szCs w:val="28"/>
          <w:lang w:val="en-US"/>
        </w:rPr>
        <w:t xml:space="preserve"> was observed in 8 patients (27</w:t>
      </w:r>
      <w:r>
        <w:rPr>
          <w:rFonts w:asciiTheme="majorBidi" w:hAnsiTheme="majorBidi" w:cstheme="majorBidi"/>
          <w:sz w:val="28"/>
          <w:szCs w:val="28"/>
          <w:lang w:val="en-US"/>
        </w:rPr>
        <w:t>%</w:t>
      </w:r>
      <w:r w:rsidRPr="008B128B">
        <w:rPr>
          <w:rFonts w:asciiTheme="majorBidi" w:hAnsiTheme="majorBidi" w:cstheme="majorBidi"/>
          <w:sz w:val="28"/>
          <w:szCs w:val="28"/>
          <w:lang w:val="en-US"/>
        </w:rPr>
        <w:t>)</w:t>
      </w:r>
      <w:r>
        <w:rPr>
          <w:rFonts w:asciiTheme="majorBidi" w:hAnsiTheme="majorBidi" w:cstheme="majorBidi"/>
          <w:sz w:val="28"/>
          <w:szCs w:val="28"/>
          <w:lang w:val="en-US"/>
        </w:rPr>
        <w:t>, of which in</w:t>
      </w:r>
      <w:r w:rsidRPr="008B128B">
        <w:rPr>
          <w:rFonts w:asciiTheme="majorBidi" w:hAnsiTheme="majorBidi" w:cstheme="majorBidi"/>
          <w:sz w:val="28"/>
          <w:szCs w:val="28"/>
          <w:lang w:val="en-US"/>
        </w:rPr>
        <w:t xml:space="preserve"> 5</w:t>
      </w:r>
      <w:r>
        <w:rPr>
          <w:rFonts w:asciiTheme="majorBidi" w:hAnsiTheme="majorBidi" w:cstheme="majorBidi"/>
          <w:sz w:val="28"/>
          <w:szCs w:val="28"/>
          <w:lang w:val="en-US"/>
        </w:rPr>
        <w:t xml:space="preserve"> patients</w:t>
      </w:r>
      <w:r w:rsidRPr="008B128B">
        <w:rPr>
          <w:rFonts w:asciiTheme="majorBidi" w:hAnsiTheme="majorBidi" w:cstheme="majorBidi"/>
          <w:sz w:val="28"/>
          <w:szCs w:val="28"/>
          <w:lang w:val="en-US"/>
        </w:rPr>
        <w:t xml:space="preserve"> (17</w:t>
      </w:r>
      <w:r>
        <w:rPr>
          <w:rFonts w:asciiTheme="majorBidi" w:hAnsiTheme="majorBidi" w:cstheme="majorBidi"/>
          <w:sz w:val="28"/>
          <w:szCs w:val="28"/>
          <w:lang w:val="en-US"/>
        </w:rPr>
        <w:t>%) PP</w:t>
      </w:r>
      <w:r w:rsidRPr="008B128B">
        <w:rPr>
          <w:rFonts w:asciiTheme="majorBidi" w:hAnsiTheme="majorBidi" w:cstheme="majorBidi"/>
          <w:sz w:val="28"/>
          <w:szCs w:val="28"/>
          <w:lang w:val="en-US"/>
        </w:rPr>
        <w:t>C was</w:t>
      </w:r>
      <w:r>
        <w:rPr>
          <w:rFonts w:asciiTheme="majorBidi" w:hAnsiTheme="majorBidi" w:cstheme="majorBidi"/>
          <w:sz w:val="28"/>
          <w:szCs w:val="28"/>
          <w:lang w:val="en-US"/>
        </w:rPr>
        <w:t xml:space="preserve"> </w:t>
      </w:r>
      <w:r w:rsidRPr="008B128B">
        <w:rPr>
          <w:rFonts w:asciiTheme="majorBidi" w:hAnsiTheme="majorBidi" w:cstheme="majorBidi"/>
          <w:sz w:val="28"/>
          <w:szCs w:val="28"/>
          <w:lang w:val="en-US"/>
        </w:rPr>
        <w:t xml:space="preserve">&gt; 2.0. It is possible that after treatment, </w:t>
      </w:r>
      <w:r>
        <w:rPr>
          <w:rFonts w:asciiTheme="majorBidi" w:hAnsiTheme="majorBidi" w:cstheme="majorBidi"/>
          <w:sz w:val="28"/>
          <w:szCs w:val="28"/>
          <w:lang w:val="en-US"/>
        </w:rPr>
        <w:t>on the background of</w:t>
      </w:r>
      <w:r w:rsidRPr="008B128B">
        <w:rPr>
          <w:rFonts w:asciiTheme="majorBidi" w:hAnsiTheme="majorBidi" w:cstheme="majorBidi"/>
          <w:sz w:val="28"/>
          <w:szCs w:val="28"/>
          <w:lang w:val="en-US"/>
        </w:rPr>
        <w:t xml:space="preserve"> clinical improvement, reduction of diarrhea and normalization </w:t>
      </w:r>
      <w:r>
        <w:rPr>
          <w:rFonts w:asciiTheme="majorBidi" w:hAnsiTheme="majorBidi" w:cstheme="majorBidi"/>
          <w:sz w:val="28"/>
          <w:szCs w:val="28"/>
          <w:lang w:val="en-US"/>
        </w:rPr>
        <w:t xml:space="preserve">of </w:t>
      </w:r>
      <w:r w:rsidRPr="008B128B">
        <w:rPr>
          <w:rFonts w:asciiTheme="majorBidi" w:hAnsiTheme="majorBidi" w:cstheme="majorBidi"/>
          <w:sz w:val="28"/>
          <w:szCs w:val="28"/>
          <w:lang w:val="en-US"/>
        </w:rPr>
        <w:t>evacuation function</w:t>
      </w:r>
      <w:r>
        <w:rPr>
          <w:rFonts w:asciiTheme="majorBidi" w:hAnsiTheme="majorBidi" w:cstheme="majorBidi"/>
          <w:sz w:val="28"/>
          <w:szCs w:val="28"/>
          <w:lang w:val="en-US"/>
        </w:rPr>
        <w:t xml:space="preserve"> a</w:t>
      </w:r>
      <w:r w:rsidRPr="008B128B">
        <w:rPr>
          <w:rFonts w:asciiTheme="majorBidi" w:hAnsiTheme="majorBidi" w:cstheme="majorBidi"/>
          <w:sz w:val="28"/>
          <w:szCs w:val="28"/>
          <w:lang w:val="en-US"/>
        </w:rPr>
        <w:t xml:space="preserve"> trend towards significant </w:t>
      </w:r>
      <w:r>
        <w:rPr>
          <w:rFonts w:asciiTheme="majorBidi" w:hAnsiTheme="majorBidi" w:cstheme="majorBidi"/>
          <w:sz w:val="28"/>
          <w:szCs w:val="28"/>
          <w:lang w:val="en-US"/>
        </w:rPr>
        <w:t>PP</w:t>
      </w:r>
      <w:r w:rsidRPr="008B128B">
        <w:rPr>
          <w:rFonts w:asciiTheme="majorBidi" w:hAnsiTheme="majorBidi" w:cstheme="majorBidi"/>
          <w:sz w:val="28"/>
          <w:szCs w:val="28"/>
          <w:lang w:val="en-US"/>
        </w:rPr>
        <w:t xml:space="preserve">C decrease and postprandial power decrease is expected. </w:t>
      </w:r>
    </w:p>
    <w:p w:rsidR="00030CDF" w:rsidRDefault="00030CDF" w:rsidP="00DF19D2">
      <w:pPr>
        <w:rPr>
          <w:rFonts w:asciiTheme="majorBidi" w:hAnsiTheme="majorBidi" w:cstheme="majorBidi"/>
          <w:sz w:val="28"/>
          <w:szCs w:val="28"/>
          <w:lang w:val="en-US"/>
        </w:rPr>
      </w:pPr>
    </w:p>
    <w:p w:rsidR="00D36384" w:rsidRPr="00D36384" w:rsidRDefault="00D36384" w:rsidP="00D36384">
      <w:pPr>
        <w:jc w:val="center"/>
        <w:rPr>
          <w:rFonts w:asciiTheme="majorBidi" w:hAnsiTheme="majorBidi" w:cstheme="majorBidi"/>
          <w:b/>
          <w:bCs/>
          <w:sz w:val="28"/>
          <w:szCs w:val="28"/>
          <w:lang w:val="en-US"/>
        </w:rPr>
      </w:pPr>
      <w:r w:rsidRPr="00D36384">
        <w:rPr>
          <w:rFonts w:asciiTheme="majorBidi" w:hAnsiTheme="majorBidi" w:cstheme="majorBidi"/>
          <w:b/>
          <w:bCs/>
          <w:sz w:val="28"/>
          <w:szCs w:val="28"/>
          <w:lang w:val="en-US"/>
        </w:rPr>
        <w:t>Conclusion</w:t>
      </w:r>
    </w:p>
    <w:p w:rsidR="00D36384" w:rsidRDefault="00D36384" w:rsidP="00D36384">
      <w:pPr>
        <w:rPr>
          <w:rFonts w:asciiTheme="majorBidi" w:hAnsiTheme="majorBidi" w:cstheme="majorBidi"/>
          <w:sz w:val="28"/>
          <w:szCs w:val="28"/>
          <w:lang w:val="en-US"/>
        </w:rPr>
      </w:pPr>
      <w:r w:rsidRPr="008B128B">
        <w:rPr>
          <w:rFonts w:asciiTheme="majorBidi" w:hAnsiTheme="majorBidi" w:cstheme="majorBidi"/>
          <w:sz w:val="28"/>
          <w:szCs w:val="28"/>
          <w:lang w:val="en-US"/>
        </w:rPr>
        <w:t xml:space="preserve">The study of efficacy and safety of </w:t>
      </w:r>
      <w:r>
        <w:rPr>
          <w:rFonts w:asciiTheme="majorBidi" w:hAnsiTheme="majorBidi" w:cstheme="majorBidi"/>
          <w:sz w:val="28"/>
          <w:szCs w:val="28"/>
          <w:lang w:val="en-US"/>
        </w:rPr>
        <w:t>application of Enterosgel</w:t>
      </w:r>
      <w:r w:rsidRPr="00EA79CF">
        <w:rPr>
          <w:rFonts w:asciiTheme="majorBidi" w:hAnsiTheme="majorBidi" w:cstheme="majorBidi"/>
          <w:sz w:val="28"/>
          <w:szCs w:val="28"/>
          <w:vertAlign w:val="superscript"/>
          <w:lang w:val="en-US"/>
        </w:rPr>
        <w:t>®</w:t>
      </w:r>
      <w:r w:rsidRPr="008B128B">
        <w:rPr>
          <w:rFonts w:asciiTheme="majorBidi" w:hAnsiTheme="majorBidi" w:cstheme="majorBidi"/>
          <w:sz w:val="28"/>
          <w:szCs w:val="28"/>
          <w:lang w:val="en-US"/>
        </w:rPr>
        <w:t xml:space="preserve"> </w:t>
      </w:r>
      <w:r>
        <w:rPr>
          <w:rFonts w:asciiTheme="majorBidi" w:hAnsiTheme="majorBidi" w:cstheme="majorBidi"/>
          <w:sz w:val="28"/>
          <w:szCs w:val="28"/>
          <w:lang w:val="en-US"/>
        </w:rPr>
        <w:t>administered</w:t>
      </w:r>
      <w:r w:rsidRPr="008B128B">
        <w:rPr>
          <w:rFonts w:asciiTheme="majorBidi" w:hAnsiTheme="majorBidi" w:cstheme="majorBidi"/>
          <w:sz w:val="28"/>
          <w:szCs w:val="28"/>
          <w:lang w:val="en-US"/>
        </w:rPr>
        <w:t xml:space="preserve"> for treatment of patients with </w:t>
      </w:r>
      <w:r>
        <w:rPr>
          <w:rFonts w:asciiTheme="majorBidi" w:hAnsiTheme="majorBidi" w:cstheme="majorBidi"/>
          <w:sz w:val="28"/>
          <w:szCs w:val="28"/>
          <w:lang w:val="en-US"/>
        </w:rPr>
        <w:t>diarrhea-</w:t>
      </w:r>
      <w:r w:rsidRPr="008B128B">
        <w:rPr>
          <w:rFonts w:asciiTheme="majorBidi" w:hAnsiTheme="majorBidi" w:cstheme="majorBidi"/>
          <w:sz w:val="28"/>
          <w:szCs w:val="28"/>
          <w:lang w:val="en-US"/>
        </w:rPr>
        <w:t xml:space="preserve">predominant irritable bowel syndrome </w:t>
      </w:r>
      <w:r>
        <w:rPr>
          <w:rFonts w:asciiTheme="majorBidi" w:hAnsiTheme="majorBidi" w:cstheme="majorBidi"/>
          <w:sz w:val="28"/>
          <w:szCs w:val="28"/>
          <w:lang w:val="en-US"/>
        </w:rPr>
        <w:t xml:space="preserve">had </w:t>
      </w:r>
      <w:r w:rsidRPr="008B128B">
        <w:rPr>
          <w:rFonts w:asciiTheme="majorBidi" w:hAnsiTheme="majorBidi" w:cstheme="majorBidi"/>
          <w:sz w:val="28"/>
          <w:szCs w:val="28"/>
          <w:lang w:val="en-US"/>
        </w:rPr>
        <w:t xml:space="preserve">demonstrated </w:t>
      </w:r>
      <w:r>
        <w:rPr>
          <w:rFonts w:asciiTheme="majorBidi" w:hAnsiTheme="majorBidi" w:cstheme="majorBidi"/>
          <w:sz w:val="28"/>
          <w:szCs w:val="28"/>
          <w:lang w:val="en-US"/>
        </w:rPr>
        <w:t>safety and</w:t>
      </w:r>
      <w:r w:rsidRPr="008B128B">
        <w:rPr>
          <w:rFonts w:asciiTheme="majorBidi" w:hAnsiTheme="majorBidi" w:cstheme="majorBidi"/>
          <w:sz w:val="28"/>
          <w:szCs w:val="28"/>
          <w:lang w:val="en-US"/>
        </w:rPr>
        <w:t xml:space="preserve"> </w:t>
      </w:r>
      <w:r>
        <w:rPr>
          <w:rFonts w:asciiTheme="majorBidi" w:hAnsiTheme="majorBidi" w:cstheme="majorBidi"/>
          <w:sz w:val="28"/>
          <w:szCs w:val="28"/>
          <w:lang w:val="en-US"/>
        </w:rPr>
        <w:t>efficiency</w:t>
      </w:r>
      <w:r w:rsidRPr="008B128B">
        <w:rPr>
          <w:rFonts w:asciiTheme="majorBidi" w:hAnsiTheme="majorBidi" w:cstheme="majorBidi"/>
          <w:sz w:val="28"/>
          <w:szCs w:val="28"/>
          <w:lang w:val="en-US"/>
        </w:rPr>
        <w:t xml:space="preserve"> of the study </w:t>
      </w:r>
      <w:r>
        <w:rPr>
          <w:rFonts w:asciiTheme="majorBidi" w:hAnsiTheme="majorBidi" w:cstheme="majorBidi"/>
          <w:sz w:val="28"/>
          <w:szCs w:val="28"/>
          <w:lang w:val="en-US"/>
        </w:rPr>
        <w:t>medication</w:t>
      </w:r>
      <w:r w:rsidRPr="008B128B">
        <w:rPr>
          <w:rFonts w:asciiTheme="majorBidi" w:hAnsiTheme="majorBidi" w:cstheme="majorBidi"/>
          <w:sz w:val="28"/>
          <w:szCs w:val="28"/>
          <w:lang w:val="en-US"/>
        </w:rPr>
        <w:t>.</w:t>
      </w:r>
    </w:p>
    <w:p w:rsidR="003D590B" w:rsidRPr="000F0E33" w:rsidRDefault="003D590B" w:rsidP="000F0E33">
      <w:pPr>
        <w:spacing w:after="0" w:line="360" w:lineRule="auto"/>
        <w:ind w:firstLine="709"/>
        <w:jc w:val="both"/>
        <w:rPr>
          <w:rFonts w:ascii="Times New Roman" w:hAnsi="Times New Roman"/>
          <w:sz w:val="28"/>
          <w:szCs w:val="28"/>
          <w:lang w:val="en-US"/>
        </w:rPr>
      </w:pPr>
      <w:r w:rsidRPr="003D590B">
        <w:rPr>
          <w:rFonts w:ascii="Times New Roman" w:hAnsi="Times New Roman"/>
          <w:sz w:val="28"/>
          <w:szCs w:val="28"/>
          <w:lang w:val="en-US"/>
        </w:rPr>
        <w:t xml:space="preserve">Evaluation according to </w:t>
      </w:r>
      <w:r w:rsidRPr="00D4103A">
        <w:rPr>
          <w:rFonts w:ascii="Times New Roman" w:hAnsi="Times New Roman"/>
          <w:sz w:val="28"/>
          <w:szCs w:val="28"/>
          <w:lang w:val="en-US"/>
        </w:rPr>
        <w:t>GSRS</w:t>
      </w:r>
      <w:r w:rsidRPr="003D590B">
        <w:rPr>
          <w:rFonts w:ascii="Times New Roman" w:hAnsi="Times New Roman"/>
          <w:sz w:val="28"/>
          <w:szCs w:val="28"/>
          <w:lang w:val="en-US"/>
        </w:rPr>
        <w:t xml:space="preserve"> </w:t>
      </w:r>
      <w:r>
        <w:rPr>
          <w:rFonts w:ascii="Times New Roman" w:hAnsi="Times New Roman"/>
          <w:sz w:val="28"/>
          <w:szCs w:val="28"/>
          <w:lang w:val="en-US"/>
        </w:rPr>
        <w:t>showed</w:t>
      </w:r>
      <w:r w:rsidRPr="003D590B">
        <w:rPr>
          <w:rFonts w:ascii="Times New Roman" w:hAnsi="Times New Roman"/>
          <w:sz w:val="28"/>
          <w:szCs w:val="28"/>
          <w:lang w:val="en-US"/>
        </w:rPr>
        <w:t xml:space="preserve"> significant reduction on the scales of abdominal pain, </w:t>
      </w:r>
      <w:r>
        <w:rPr>
          <w:rFonts w:ascii="Times New Roman" w:hAnsi="Times New Roman"/>
          <w:sz w:val="28"/>
          <w:szCs w:val="28"/>
          <w:lang w:val="en-US"/>
        </w:rPr>
        <w:t>di</w:t>
      </w:r>
      <w:r w:rsidRPr="003D590B">
        <w:rPr>
          <w:rFonts w:ascii="Times New Roman" w:hAnsi="Times New Roman"/>
          <w:sz w:val="28"/>
          <w:szCs w:val="28"/>
          <w:lang w:val="en-US"/>
        </w:rPr>
        <w:t xml:space="preserve">arrhea syndrome, dyspeptic syndrome </w:t>
      </w:r>
      <w:r>
        <w:rPr>
          <w:rFonts w:ascii="Times New Roman" w:hAnsi="Times New Roman"/>
          <w:sz w:val="28"/>
          <w:szCs w:val="28"/>
          <w:lang w:val="en-US"/>
        </w:rPr>
        <w:t>as well as on the tota</w:t>
      </w:r>
      <w:r w:rsidRPr="003D590B">
        <w:rPr>
          <w:rFonts w:ascii="Times New Roman" w:hAnsi="Times New Roman"/>
          <w:sz w:val="28"/>
          <w:szCs w:val="28"/>
          <w:lang w:val="en-US"/>
        </w:rPr>
        <w:t xml:space="preserve">l measure scale. </w:t>
      </w:r>
      <w:r w:rsidR="000F0E33" w:rsidRPr="000F0E33">
        <w:rPr>
          <w:rFonts w:ascii="Times New Roman" w:hAnsi="Times New Roman"/>
          <w:sz w:val="28"/>
          <w:szCs w:val="28"/>
          <w:lang w:val="en-US"/>
        </w:rPr>
        <w:t>According to EGG,</w:t>
      </w:r>
      <w:r w:rsidRPr="000F0E33">
        <w:rPr>
          <w:rFonts w:ascii="Times New Roman" w:hAnsi="Times New Roman"/>
          <w:sz w:val="28"/>
          <w:szCs w:val="28"/>
          <w:lang w:val="en-US"/>
        </w:rPr>
        <w:t xml:space="preserve"> </w:t>
      </w:r>
      <w:r w:rsidR="000F0E33" w:rsidRPr="000F0E33">
        <w:rPr>
          <w:rFonts w:ascii="Times New Roman" w:hAnsi="Times New Roman"/>
          <w:sz w:val="28"/>
          <w:szCs w:val="28"/>
          <w:lang w:val="en-US"/>
        </w:rPr>
        <w:t>while studying MEA,</w:t>
      </w:r>
      <w:r w:rsidRPr="000F0E33">
        <w:rPr>
          <w:rFonts w:ascii="Times New Roman" w:hAnsi="Times New Roman"/>
          <w:sz w:val="28"/>
          <w:szCs w:val="28"/>
          <w:lang w:val="en-US"/>
        </w:rPr>
        <w:t xml:space="preserve"> </w:t>
      </w:r>
      <w:r w:rsidR="000F0E33" w:rsidRPr="000F0E33">
        <w:rPr>
          <w:rFonts w:ascii="Times New Roman" w:hAnsi="Times New Roman"/>
          <w:sz w:val="28"/>
          <w:szCs w:val="28"/>
          <w:lang w:val="en-US"/>
        </w:rPr>
        <w:t xml:space="preserve">a tendency towards normalization </w:t>
      </w:r>
      <w:r w:rsidR="000F0E33">
        <w:rPr>
          <w:rFonts w:ascii="Times New Roman" w:hAnsi="Times New Roman"/>
          <w:sz w:val="28"/>
          <w:szCs w:val="28"/>
          <w:lang w:val="en-US"/>
        </w:rPr>
        <w:t>of t</w:t>
      </w:r>
      <w:r w:rsidR="000F0E33" w:rsidRPr="000F0E33">
        <w:rPr>
          <w:rFonts w:ascii="Times New Roman" w:hAnsi="Times New Roman"/>
          <w:sz w:val="28"/>
          <w:szCs w:val="28"/>
          <w:lang w:val="en-US"/>
        </w:rPr>
        <w:t>he GIT motor</w:t>
      </w:r>
      <w:r w:rsidR="000F0E33">
        <w:rPr>
          <w:rFonts w:ascii="Times New Roman" w:hAnsi="Times New Roman"/>
          <w:sz w:val="28"/>
          <w:szCs w:val="28"/>
          <w:lang w:val="en-US"/>
        </w:rPr>
        <w:t>-</w:t>
      </w:r>
      <w:r w:rsidR="000F0E33" w:rsidRPr="000F0E33">
        <w:rPr>
          <w:rFonts w:ascii="Times New Roman" w:hAnsi="Times New Roman"/>
          <w:sz w:val="28"/>
          <w:szCs w:val="28"/>
          <w:lang w:val="en-US"/>
        </w:rPr>
        <w:t>evacuation function is evident</w:t>
      </w:r>
      <w:r w:rsidRPr="000F0E33">
        <w:rPr>
          <w:rFonts w:ascii="Times New Roman" w:hAnsi="Times New Roman"/>
          <w:sz w:val="28"/>
          <w:szCs w:val="28"/>
          <w:lang w:val="en-US"/>
        </w:rPr>
        <w:t>.</w:t>
      </w:r>
    </w:p>
    <w:p w:rsidR="00D36384" w:rsidRPr="000F0E33" w:rsidRDefault="00D36384" w:rsidP="00D36384">
      <w:pPr>
        <w:rPr>
          <w:rFonts w:asciiTheme="majorBidi" w:hAnsiTheme="majorBidi" w:cstheme="majorBidi"/>
          <w:sz w:val="28"/>
          <w:szCs w:val="28"/>
          <w:lang w:val="en-US"/>
        </w:rPr>
      </w:pPr>
    </w:p>
    <w:p w:rsidR="00D36384" w:rsidRPr="00D36384" w:rsidRDefault="00D36384" w:rsidP="00D36384">
      <w:pPr>
        <w:jc w:val="center"/>
        <w:rPr>
          <w:rFonts w:asciiTheme="majorBidi" w:hAnsiTheme="majorBidi" w:cstheme="majorBidi"/>
          <w:b/>
          <w:bCs/>
          <w:sz w:val="28"/>
          <w:szCs w:val="28"/>
          <w:lang w:val="en-US"/>
        </w:rPr>
      </w:pPr>
      <w:r w:rsidRPr="00D36384">
        <w:rPr>
          <w:rFonts w:asciiTheme="majorBidi" w:hAnsiTheme="majorBidi" w:cstheme="majorBidi"/>
          <w:b/>
          <w:bCs/>
          <w:sz w:val="28"/>
          <w:szCs w:val="28"/>
          <w:lang w:val="en-US"/>
        </w:rPr>
        <w:t>Summary</w:t>
      </w:r>
    </w:p>
    <w:p w:rsidR="00566593" w:rsidRPr="00566593" w:rsidRDefault="00566593" w:rsidP="00566593">
      <w:pPr>
        <w:rPr>
          <w:rFonts w:asciiTheme="majorBidi" w:hAnsiTheme="majorBidi" w:cstheme="majorBidi"/>
          <w:sz w:val="28"/>
          <w:szCs w:val="28"/>
          <w:lang w:val="en-US"/>
        </w:rPr>
      </w:pPr>
      <w:r w:rsidRPr="00566593">
        <w:rPr>
          <w:rFonts w:asciiTheme="majorBidi" w:hAnsiTheme="majorBidi" w:cstheme="majorBidi"/>
          <w:sz w:val="28"/>
          <w:szCs w:val="28"/>
          <w:lang w:val="en-US"/>
        </w:rPr>
        <w:lastRenderedPageBreak/>
        <w:t>Enterosgel</w:t>
      </w:r>
      <w:r w:rsidRPr="00566593">
        <w:rPr>
          <w:rFonts w:asciiTheme="majorBidi" w:hAnsiTheme="majorBidi" w:cstheme="majorBidi"/>
          <w:sz w:val="28"/>
          <w:szCs w:val="28"/>
          <w:vertAlign w:val="superscript"/>
          <w:lang w:val="en-US"/>
        </w:rPr>
        <w:t>®</w:t>
      </w:r>
      <w:r w:rsidRPr="00566593">
        <w:rPr>
          <w:rFonts w:asciiTheme="majorBidi" w:hAnsiTheme="majorBidi" w:cstheme="majorBidi"/>
          <w:sz w:val="28"/>
          <w:szCs w:val="28"/>
          <w:lang w:val="en-US"/>
        </w:rPr>
        <w:t xml:space="preserve"> has a positive effect on the clinical performance, reducing abdominal pain severity and normalizing stool frequency in D-IBS patients, thus contributing to the harmonization of quality of life.</w:t>
      </w:r>
    </w:p>
    <w:p w:rsidR="00D36384" w:rsidRDefault="00C237A4" w:rsidP="00DF19D2">
      <w:pPr>
        <w:rPr>
          <w:rFonts w:asciiTheme="majorBidi" w:hAnsiTheme="majorBidi" w:cstheme="majorBidi"/>
          <w:sz w:val="28"/>
          <w:szCs w:val="28"/>
          <w:lang w:val="en-US"/>
        </w:rPr>
      </w:pPr>
      <w:r w:rsidRPr="00B97B22">
        <w:rPr>
          <w:rFonts w:asciiTheme="majorBidi" w:hAnsiTheme="majorBidi" w:cstheme="majorBidi"/>
          <w:sz w:val="28"/>
          <w:szCs w:val="28"/>
          <w:lang w:val="en-US"/>
        </w:rPr>
        <w:t xml:space="preserve">Treatment regimens that can be recommended for use in patients with </w:t>
      </w:r>
      <w:r>
        <w:rPr>
          <w:rFonts w:asciiTheme="majorBidi" w:hAnsiTheme="majorBidi" w:cstheme="majorBidi"/>
          <w:sz w:val="28"/>
          <w:szCs w:val="28"/>
          <w:lang w:val="en-US"/>
        </w:rPr>
        <w:t>D-</w:t>
      </w:r>
      <w:r w:rsidRPr="00B97B22">
        <w:rPr>
          <w:rFonts w:asciiTheme="majorBidi" w:hAnsiTheme="majorBidi" w:cstheme="majorBidi"/>
          <w:sz w:val="28"/>
          <w:szCs w:val="28"/>
          <w:lang w:val="en-US"/>
        </w:rPr>
        <w:t xml:space="preserve">IBS: 22.5 g of </w:t>
      </w:r>
      <w:r>
        <w:rPr>
          <w:rFonts w:asciiTheme="majorBidi" w:hAnsiTheme="majorBidi" w:cstheme="majorBidi"/>
          <w:sz w:val="28"/>
          <w:szCs w:val="28"/>
          <w:lang w:val="en-US"/>
        </w:rPr>
        <w:t>the</w:t>
      </w:r>
      <w:r w:rsidRPr="00B97B22">
        <w:rPr>
          <w:rFonts w:asciiTheme="majorBidi" w:hAnsiTheme="majorBidi" w:cstheme="majorBidi"/>
          <w:sz w:val="28"/>
          <w:szCs w:val="28"/>
          <w:lang w:val="en-US"/>
        </w:rPr>
        <w:t xml:space="preserve"> paste with the active substance polymethylsiloxane polyhydr</w:t>
      </w:r>
      <w:r>
        <w:rPr>
          <w:rFonts w:asciiTheme="majorBidi" w:hAnsiTheme="majorBidi" w:cstheme="majorBidi"/>
          <w:sz w:val="28"/>
          <w:szCs w:val="28"/>
          <w:lang w:val="en-US"/>
        </w:rPr>
        <w:t>ate 3 times a day 1 hour after</w:t>
      </w:r>
      <w:r w:rsidRPr="00B97B22">
        <w:rPr>
          <w:rFonts w:asciiTheme="majorBidi" w:hAnsiTheme="majorBidi" w:cstheme="majorBidi"/>
          <w:sz w:val="28"/>
          <w:szCs w:val="28"/>
          <w:lang w:val="en-US"/>
        </w:rPr>
        <w:t xml:space="preserve"> meal orally for 3 consecutive weeks </w:t>
      </w:r>
      <w:r>
        <w:rPr>
          <w:rFonts w:asciiTheme="majorBidi" w:hAnsiTheme="majorBidi" w:cstheme="majorBidi"/>
          <w:sz w:val="28"/>
          <w:szCs w:val="28"/>
          <w:lang w:val="en-US"/>
        </w:rPr>
        <w:t>(paste</w:t>
      </w:r>
      <w:r w:rsidRPr="00B97B22">
        <w:rPr>
          <w:rFonts w:asciiTheme="majorBidi" w:hAnsiTheme="majorBidi" w:cstheme="majorBidi"/>
          <w:sz w:val="28"/>
          <w:szCs w:val="28"/>
          <w:lang w:val="en-US"/>
        </w:rPr>
        <w:t xml:space="preserve"> dose </w:t>
      </w:r>
      <w:r>
        <w:rPr>
          <w:rFonts w:asciiTheme="majorBidi" w:hAnsiTheme="majorBidi" w:cstheme="majorBidi"/>
          <w:sz w:val="28"/>
          <w:szCs w:val="28"/>
          <w:lang w:val="en-US"/>
        </w:rPr>
        <w:t>should be dissolved in</w:t>
      </w:r>
      <w:r w:rsidRPr="00B97B22">
        <w:rPr>
          <w:rFonts w:asciiTheme="majorBidi" w:hAnsiTheme="majorBidi" w:cstheme="majorBidi"/>
          <w:sz w:val="28"/>
          <w:szCs w:val="28"/>
          <w:lang w:val="en-US"/>
        </w:rPr>
        <w:t xml:space="preserve"> 200 ml of cool boiled water or washed down with at leas</w:t>
      </w:r>
      <w:r>
        <w:rPr>
          <w:rFonts w:asciiTheme="majorBidi" w:hAnsiTheme="majorBidi" w:cstheme="majorBidi"/>
          <w:sz w:val="28"/>
          <w:szCs w:val="28"/>
          <w:lang w:val="en-US"/>
        </w:rPr>
        <w:t>t 200 ml of cool boiled water).</w:t>
      </w:r>
    </w:p>
    <w:p w:rsidR="00C237A4" w:rsidRDefault="00C237A4" w:rsidP="00DF19D2">
      <w:pPr>
        <w:rPr>
          <w:rFonts w:asciiTheme="majorBidi" w:hAnsiTheme="majorBidi" w:cstheme="majorBidi"/>
          <w:sz w:val="28"/>
          <w:szCs w:val="28"/>
          <w:lang w:val="en-US"/>
        </w:rPr>
      </w:pPr>
    </w:p>
    <w:p w:rsidR="00C237A4" w:rsidRPr="00C237A4" w:rsidRDefault="00C237A4" w:rsidP="00C237A4">
      <w:pPr>
        <w:jc w:val="center"/>
        <w:rPr>
          <w:rFonts w:asciiTheme="majorBidi" w:hAnsiTheme="majorBidi" w:cstheme="majorBidi"/>
          <w:b/>
          <w:bCs/>
          <w:sz w:val="28"/>
          <w:szCs w:val="28"/>
          <w:lang w:val="en-US"/>
        </w:rPr>
      </w:pPr>
      <w:r w:rsidRPr="00C237A4">
        <w:rPr>
          <w:rFonts w:asciiTheme="majorBidi" w:hAnsiTheme="majorBidi" w:cstheme="majorBidi"/>
          <w:b/>
          <w:bCs/>
          <w:sz w:val="28"/>
          <w:szCs w:val="28"/>
          <w:lang w:val="en-US"/>
        </w:rPr>
        <w:t>References</w:t>
      </w:r>
    </w:p>
    <w:p w:rsidR="00D46E90" w:rsidRPr="00AA6C27" w:rsidRDefault="00D46E90" w:rsidP="00D46E90">
      <w:pPr>
        <w:numPr>
          <w:ilvl w:val="0"/>
          <w:numId w:val="2"/>
        </w:numPr>
        <w:shd w:val="clear" w:color="auto" w:fill="FFFFFF"/>
        <w:tabs>
          <w:tab w:val="left" w:pos="0"/>
          <w:tab w:val="left" w:pos="1134"/>
        </w:tabs>
        <w:spacing w:after="0" w:line="360" w:lineRule="auto"/>
        <w:ind w:left="0" w:firstLine="567"/>
        <w:contextualSpacing/>
        <w:jc w:val="both"/>
        <w:rPr>
          <w:rFonts w:ascii="Times New Roman" w:hAnsi="Times New Roman"/>
          <w:sz w:val="28"/>
          <w:szCs w:val="28"/>
          <w:lang w:val="en-US"/>
        </w:rPr>
      </w:pPr>
      <w:bookmarkStart w:id="1" w:name="_Ref393837826"/>
      <w:bookmarkStart w:id="2" w:name="_Ref393837855"/>
      <w:r w:rsidRPr="00AA6C27">
        <w:rPr>
          <w:rFonts w:ascii="Times New Roman" w:hAnsi="Times New Roman"/>
          <w:color w:val="000000"/>
          <w:sz w:val="28"/>
          <w:szCs w:val="28"/>
          <w:lang w:val="en-US"/>
        </w:rPr>
        <w:t>Camilleri M., Lasch K., Zhou W. Irritable bowel syndrome: methods, mechanisms, and pathophysiology. The confluence of increased permeability, inflammation, and pain in irritable bowel syndrome/ M. Camilleri, K.  Lasch, W. Zhou // Am. J. Physiol. Gastrointest. Liver Physiol. – 2012. – Vol. 303, №7</w:t>
      </w:r>
      <w:r w:rsidRPr="00AA6C27">
        <w:rPr>
          <w:rFonts w:ascii="Times New Roman" w:hAnsi="Times New Roman"/>
          <w:color w:val="000000"/>
          <w:sz w:val="28"/>
          <w:szCs w:val="28"/>
        </w:rPr>
        <w:t>ю</w:t>
      </w:r>
      <w:r w:rsidRPr="00AA6C27">
        <w:rPr>
          <w:rFonts w:ascii="Times New Roman" w:hAnsi="Times New Roman"/>
          <w:color w:val="000000"/>
          <w:sz w:val="28"/>
          <w:szCs w:val="28"/>
          <w:lang w:val="en-US"/>
        </w:rPr>
        <w:t xml:space="preserve"> - G775-85. doi: 10.1152/ajpgi.00155.2012.</w:t>
      </w:r>
      <w:bookmarkEnd w:id="1"/>
      <w:r w:rsidRPr="00AA6C27">
        <w:rPr>
          <w:rFonts w:ascii="Times New Roman" w:hAnsi="Times New Roman"/>
          <w:color w:val="000000"/>
          <w:sz w:val="28"/>
          <w:szCs w:val="28"/>
          <w:lang w:val="en-US"/>
        </w:rPr>
        <w:t xml:space="preserve"> </w:t>
      </w:r>
      <w:r w:rsidRPr="00AA6C27">
        <w:rPr>
          <w:rFonts w:ascii="Times New Roman" w:hAnsi="Times New Roman"/>
          <w:color w:val="303030"/>
          <w:sz w:val="28"/>
          <w:szCs w:val="28"/>
          <w:shd w:val="clear" w:color="auto" w:fill="FFFFFF"/>
          <w:lang w:val="en-US"/>
        </w:rPr>
        <w:t xml:space="preserve"> </w:t>
      </w:r>
    </w:p>
    <w:p w:rsidR="00D46E90" w:rsidRPr="00AA6C27" w:rsidRDefault="00D46E90" w:rsidP="00D46E90">
      <w:pPr>
        <w:numPr>
          <w:ilvl w:val="0"/>
          <w:numId w:val="2"/>
        </w:numPr>
        <w:shd w:val="clear" w:color="auto" w:fill="FFFFFF"/>
        <w:tabs>
          <w:tab w:val="left" w:pos="0"/>
          <w:tab w:val="left" w:pos="1134"/>
        </w:tabs>
        <w:spacing w:after="0" w:line="360" w:lineRule="auto"/>
        <w:ind w:left="0" w:firstLine="567"/>
        <w:contextualSpacing/>
        <w:jc w:val="both"/>
        <w:rPr>
          <w:rFonts w:ascii="Times New Roman" w:hAnsi="Times New Roman"/>
          <w:sz w:val="28"/>
          <w:szCs w:val="28"/>
          <w:lang w:val="en-US"/>
        </w:rPr>
      </w:pPr>
      <w:r w:rsidRPr="00AA6C27">
        <w:rPr>
          <w:rFonts w:ascii="Times New Roman" w:hAnsi="Times New Roman"/>
          <w:vanish/>
          <w:sz w:val="28"/>
          <w:szCs w:val="28"/>
          <w:lang w:val="en-US"/>
        </w:rPr>
        <w:t xml:space="preserve">Chang F.-Y. </w:t>
      </w:r>
      <w:r w:rsidRPr="00AA6C27">
        <w:rPr>
          <w:rFonts w:ascii="Times New Roman" w:hAnsi="Times New Roman"/>
          <w:sz w:val="28"/>
          <w:szCs w:val="28"/>
          <w:lang w:val="en-US"/>
        </w:rPr>
        <w:t>Ballou S.K., Keefer L. Multicultural considerations in the diagnosis and management of irritable bowel syndrome: a selective summary / S.K. Ballou, L. Keefer //</w:t>
      </w:r>
      <w:r w:rsidRPr="00AA6C27">
        <w:rPr>
          <w:rFonts w:ascii="Times New Roman" w:hAnsi="Times New Roman"/>
          <w:color w:val="000000"/>
          <w:sz w:val="28"/>
          <w:szCs w:val="28"/>
          <w:lang w:val="en-US"/>
        </w:rPr>
        <w:t xml:space="preserve"> </w:t>
      </w:r>
      <w:r w:rsidRPr="00AA6C27">
        <w:rPr>
          <w:rFonts w:ascii="Times New Roman" w:hAnsi="Times New Roman"/>
          <w:sz w:val="28"/>
          <w:szCs w:val="28"/>
          <w:lang w:val="en-US"/>
        </w:rPr>
        <w:t>Eur. J. Gastroenterol. Hepatol. -.2013. – Vol.25. – P. 1127–1133.</w:t>
      </w:r>
      <w:bookmarkEnd w:id="2"/>
    </w:p>
    <w:p w:rsidR="00D46E90" w:rsidRPr="00AA6C27" w:rsidRDefault="00D46E90" w:rsidP="00D46E90">
      <w:pPr>
        <w:numPr>
          <w:ilvl w:val="0"/>
          <w:numId w:val="2"/>
        </w:numPr>
        <w:shd w:val="clear" w:color="auto" w:fill="FFFFFF"/>
        <w:tabs>
          <w:tab w:val="left" w:pos="0"/>
          <w:tab w:val="left" w:pos="1134"/>
        </w:tabs>
        <w:spacing w:after="0" w:line="360" w:lineRule="auto"/>
        <w:ind w:left="0" w:firstLine="567"/>
        <w:contextualSpacing/>
        <w:jc w:val="both"/>
        <w:rPr>
          <w:rFonts w:ascii="Times New Roman" w:hAnsi="Times New Roman"/>
          <w:sz w:val="28"/>
          <w:szCs w:val="28"/>
          <w:lang w:val="en-US"/>
        </w:rPr>
      </w:pPr>
      <w:bookmarkStart w:id="3" w:name="_Ref393837881"/>
      <w:bookmarkStart w:id="4" w:name="_Ref393838318"/>
      <w:r w:rsidRPr="00AA6C27">
        <w:rPr>
          <w:rFonts w:ascii="Times New Roman" w:hAnsi="Times New Roman"/>
          <w:sz w:val="28"/>
          <w:szCs w:val="28"/>
          <w:lang w:val="en-US"/>
        </w:rPr>
        <w:t xml:space="preserve">Longstreth G.F., Thompson W.G., Chey W.D. et al </w:t>
      </w:r>
      <w:r w:rsidRPr="00AA6C27">
        <w:rPr>
          <w:rFonts w:ascii="Times New Roman" w:hAnsi="Times New Roman"/>
          <w:sz w:val="28"/>
          <w:szCs w:val="28"/>
          <w:shd w:val="clear" w:color="auto" w:fill="FFFFFF"/>
          <w:lang w:val="en-US"/>
        </w:rPr>
        <w:t>Multicultural considerations in the diagnosis and management of irritable bowel syndrome: a selective summary / G.F. </w:t>
      </w:r>
      <w:r w:rsidRPr="00AA6C27">
        <w:rPr>
          <w:rFonts w:ascii="Times New Roman" w:hAnsi="Times New Roman"/>
          <w:sz w:val="28"/>
          <w:szCs w:val="28"/>
          <w:lang w:val="en-US"/>
        </w:rPr>
        <w:t>Longstreth, W.G. Thompson, W.D. Chey et al.  Functional bowel disorders // Gastroenterology. – 2006. - Vol. 130. – P. 1480–1491.</w:t>
      </w:r>
      <w:bookmarkEnd w:id="3"/>
    </w:p>
    <w:p w:rsidR="00D46E90" w:rsidRPr="00AA6C27" w:rsidRDefault="00D46E90" w:rsidP="00D46E90">
      <w:pPr>
        <w:numPr>
          <w:ilvl w:val="0"/>
          <w:numId w:val="2"/>
        </w:numPr>
        <w:shd w:val="clear" w:color="auto" w:fill="FFFFFF"/>
        <w:tabs>
          <w:tab w:val="left" w:pos="0"/>
          <w:tab w:val="left" w:pos="1134"/>
        </w:tabs>
        <w:spacing w:after="0" w:line="360" w:lineRule="auto"/>
        <w:ind w:left="0" w:firstLine="567"/>
        <w:contextualSpacing/>
        <w:jc w:val="both"/>
        <w:rPr>
          <w:rStyle w:val="element-citation"/>
          <w:rFonts w:ascii="Times New Roman" w:hAnsi="Times New Roman"/>
          <w:sz w:val="28"/>
          <w:szCs w:val="28"/>
          <w:lang w:val="en-US"/>
        </w:rPr>
      </w:pPr>
      <w:bookmarkStart w:id="5" w:name="_Ref393838265"/>
      <w:r w:rsidRPr="00AA6C27">
        <w:rPr>
          <w:rFonts w:ascii="Times New Roman" w:hAnsi="Times New Roman"/>
          <w:sz w:val="28"/>
          <w:szCs w:val="28"/>
          <w:lang w:val="en-US"/>
        </w:rPr>
        <w:lastRenderedPageBreak/>
        <w:t xml:space="preserve">Guilarte M., Santos J., de </w:t>
      </w:r>
      <w:smartTag w:uri="urn:schemas-microsoft-com:office:smarttags" w:element="City">
        <w:smartTag w:uri="urn:schemas-microsoft-com:office:smarttags" w:element="City">
          <w:r w:rsidRPr="00AA6C27">
            <w:rPr>
              <w:rFonts w:ascii="Times New Roman" w:hAnsi="Times New Roman"/>
              <w:sz w:val="28"/>
              <w:szCs w:val="28"/>
              <w:lang w:val="en-US"/>
            </w:rPr>
            <w:t>Torres</w:t>
          </w:r>
        </w:smartTag>
        <w:r w:rsidRPr="00AA6C27">
          <w:rPr>
            <w:rFonts w:ascii="Times New Roman" w:hAnsi="Times New Roman"/>
            <w:sz w:val="28"/>
            <w:szCs w:val="28"/>
            <w:lang w:val="en-US"/>
          </w:rPr>
          <w:t xml:space="preserve"> </w:t>
        </w:r>
        <w:smartTag w:uri="urn:schemas-microsoft-com:office:smarttags" w:element="City">
          <w:r w:rsidRPr="00AA6C27">
            <w:rPr>
              <w:rFonts w:ascii="Times New Roman" w:hAnsi="Times New Roman"/>
              <w:sz w:val="28"/>
              <w:szCs w:val="28"/>
              <w:lang w:val="en-US"/>
            </w:rPr>
            <w:t>I.</w:t>
          </w:r>
        </w:smartTag>
        <w:r w:rsidRPr="00AA6C27">
          <w:rPr>
            <w:rFonts w:ascii="Times New Roman" w:hAnsi="Times New Roman"/>
            <w:sz w:val="28"/>
            <w:szCs w:val="28"/>
            <w:lang w:val="en-US"/>
          </w:rPr>
          <w:t xml:space="preserve"> et al.</w:t>
        </w:r>
      </w:smartTag>
      <w:r w:rsidRPr="00AA6C27">
        <w:rPr>
          <w:rFonts w:ascii="Times New Roman" w:hAnsi="Times New Roman"/>
          <w:sz w:val="28"/>
          <w:szCs w:val="28"/>
          <w:lang w:val="en-US"/>
        </w:rPr>
        <w:t xml:space="preserve"> Diarrhoea-predominant IBS patients show mast cell activation and hyperplasia in the jejunum / M.  Guilarte, J.  </w:t>
      </w:r>
      <w:smartTag w:uri="urn:schemas-microsoft-com:office:smarttags" w:element="City">
        <w:r w:rsidRPr="00AA6C27">
          <w:rPr>
            <w:rFonts w:ascii="Times New Roman" w:hAnsi="Times New Roman"/>
            <w:sz w:val="28"/>
            <w:szCs w:val="28"/>
            <w:lang w:val="en-US"/>
          </w:rPr>
          <w:t>Santos</w:t>
        </w:r>
      </w:smartTag>
      <w:r w:rsidRPr="00AA6C27">
        <w:rPr>
          <w:rFonts w:ascii="Times New Roman" w:hAnsi="Times New Roman"/>
          <w:sz w:val="28"/>
          <w:szCs w:val="28"/>
          <w:lang w:val="en-US"/>
        </w:rPr>
        <w:t xml:space="preserve">, I. de Torres et al.// Gut. – 2007. - </w:t>
      </w:r>
      <w:r w:rsidRPr="00AA6C27">
        <w:rPr>
          <w:rStyle w:val="cit"/>
          <w:rFonts w:ascii="Times New Roman" w:hAnsi="Times New Roman"/>
          <w:sz w:val="28"/>
          <w:szCs w:val="28"/>
          <w:lang w:val="en-US"/>
        </w:rPr>
        <w:t xml:space="preserve">Vol. </w:t>
      </w:r>
      <w:r w:rsidRPr="00AA6C27">
        <w:rPr>
          <w:rFonts w:ascii="Times New Roman" w:hAnsi="Times New Roman"/>
          <w:sz w:val="28"/>
          <w:szCs w:val="28"/>
          <w:lang w:val="en-US"/>
        </w:rPr>
        <w:t>56. – P.  203–209.</w:t>
      </w:r>
      <w:bookmarkEnd w:id="5"/>
      <w:r w:rsidRPr="00AA6C27">
        <w:rPr>
          <w:rFonts w:ascii="Times New Roman" w:hAnsi="Times New Roman"/>
          <w:iCs/>
          <w:color w:val="303030"/>
          <w:sz w:val="28"/>
          <w:szCs w:val="28"/>
          <w:lang w:val="en-US"/>
        </w:rPr>
        <w:t xml:space="preserve"> </w:t>
      </w:r>
    </w:p>
    <w:p w:rsidR="00D46E90" w:rsidRPr="00AA6C27" w:rsidRDefault="00D46E90" w:rsidP="00D46E90">
      <w:pPr>
        <w:numPr>
          <w:ilvl w:val="0"/>
          <w:numId w:val="2"/>
        </w:numPr>
        <w:shd w:val="clear" w:color="auto" w:fill="FFFFFF"/>
        <w:tabs>
          <w:tab w:val="left" w:pos="0"/>
          <w:tab w:val="left" w:pos="1134"/>
        </w:tabs>
        <w:spacing w:after="0" w:line="360" w:lineRule="auto"/>
        <w:ind w:left="0" w:firstLine="567"/>
        <w:contextualSpacing/>
        <w:jc w:val="both"/>
        <w:rPr>
          <w:rFonts w:ascii="Times New Roman" w:hAnsi="Times New Roman"/>
          <w:sz w:val="28"/>
          <w:szCs w:val="28"/>
          <w:lang w:val="en-US"/>
        </w:rPr>
      </w:pPr>
      <w:bookmarkStart w:id="6" w:name="_Ref393838282"/>
      <w:r w:rsidRPr="00AA6C27">
        <w:rPr>
          <w:rFonts w:ascii="Times New Roman" w:hAnsi="Times New Roman"/>
          <w:sz w:val="28"/>
          <w:szCs w:val="28"/>
          <w:lang w:val="en-US"/>
        </w:rPr>
        <w:t>Mearin F., Pérez-Oliveras M., Perelló A. et al. Dyspepsia and irritable bowel syndrome after a Salmonella gastroenteritis outbreak: one-year follow-up cohort study / F. Mearin, M. Pérez-Oliveras,A. Perelló et al. // Gastroenterology. – 2005. - Vol.129. – P.98–104.</w:t>
      </w:r>
      <w:bookmarkEnd w:id="6"/>
    </w:p>
    <w:p w:rsidR="00D46E90" w:rsidRPr="001E046C" w:rsidRDefault="00D46E90" w:rsidP="00D46E90">
      <w:pPr>
        <w:numPr>
          <w:ilvl w:val="0"/>
          <w:numId w:val="2"/>
        </w:numPr>
        <w:shd w:val="clear" w:color="auto" w:fill="FFFFFF"/>
        <w:tabs>
          <w:tab w:val="left" w:pos="0"/>
          <w:tab w:val="left" w:pos="1134"/>
        </w:tabs>
        <w:spacing w:after="0" w:line="360" w:lineRule="auto"/>
        <w:ind w:left="0" w:firstLine="567"/>
        <w:contextualSpacing/>
        <w:jc w:val="both"/>
        <w:rPr>
          <w:rFonts w:ascii="Times New Roman" w:hAnsi="Times New Roman"/>
          <w:sz w:val="28"/>
          <w:szCs w:val="28"/>
          <w:lang w:val="nb-NO"/>
        </w:rPr>
      </w:pPr>
      <w:bookmarkStart w:id="7" w:name="_Ref393838298"/>
      <w:r w:rsidRPr="001E046C">
        <w:rPr>
          <w:rFonts w:ascii="Times New Roman" w:hAnsi="Times New Roman"/>
          <w:sz w:val="28"/>
          <w:szCs w:val="28"/>
          <w:lang w:val="nb-NO"/>
        </w:rPr>
        <w:t>Van der Veek P.P., van den Berg M., de Kroon Y.E. et al. Role of tumor necrosis factor-alpha and interleukin-10 gene polymorphisms in irritable bowel syndrome / P.P. van der Veek., M. van den Berg, Y.E. de Kroon et al. // Am. J. Gastroenterol. – 2005.; Vol.100. – P.2510–2516.</w:t>
      </w:r>
      <w:bookmarkEnd w:id="7"/>
    </w:p>
    <w:p w:rsidR="00D46E90" w:rsidRPr="00AA6C27" w:rsidRDefault="00D46E90" w:rsidP="00D46E90">
      <w:pPr>
        <w:numPr>
          <w:ilvl w:val="0"/>
          <w:numId w:val="2"/>
        </w:numPr>
        <w:shd w:val="clear" w:color="auto" w:fill="FFFFFF"/>
        <w:tabs>
          <w:tab w:val="left" w:pos="0"/>
          <w:tab w:val="left" w:pos="1134"/>
        </w:tabs>
        <w:spacing w:after="0" w:line="360" w:lineRule="auto"/>
        <w:ind w:left="0" w:firstLine="567"/>
        <w:contextualSpacing/>
        <w:jc w:val="both"/>
        <w:rPr>
          <w:rFonts w:ascii="Times New Roman" w:hAnsi="Times New Roman"/>
          <w:sz w:val="28"/>
          <w:szCs w:val="28"/>
          <w:lang w:val="en-US"/>
        </w:rPr>
      </w:pPr>
      <w:r w:rsidRPr="001E046C">
        <w:rPr>
          <w:rFonts w:ascii="Times New Roman" w:hAnsi="Times New Roman"/>
          <w:sz w:val="28"/>
          <w:szCs w:val="28"/>
          <w:lang w:val="nb-NO"/>
        </w:rPr>
        <w:t xml:space="preserve">Barrett J.S., Gibson P.R. Fermentable oligosaccharides, disaccharides, monosaccharides and polyols (FODMAPs) and nonallergic food intolerance: FODMAPs or food chemicals? / J.S. Barrett, P.R. Gibson // Therap. </w:t>
      </w:r>
      <w:r w:rsidRPr="00AA6C27">
        <w:rPr>
          <w:rFonts w:ascii="Times New Roman" w:hAnsi="Times New Roman"/>
          <w:sz w:val="28"/>
          <w:szCs w:val="28"/>
          <w:lang w:val="en-US"/>
        </w:rPr>
        <w:t>Adv. Gastroenterol. – 2012. – Vol.5. – P. 261–268.</w:t>
      </w:r>
      <w:bookmarkEnd w:id="4"/>
    </w:p>
    <w:p w:rsidR="00D46E90" w:rsidRPr="00AA6C27" w:rsidRDefault="00D46E90" w:rsidP="00D46E90">
      <w:pPr>
        <w:numPr>
          <w:ilvl w:val="0"/>
          <w:numId w:val="2"/>
        </w:numPr>
        <w:shd w:val="clear" w:color="auto" w:fill="FFFFFF"/>
        <w:tabs>
          <w:tab w:val="left" w:pos="0"/>
          <w:tab w:val="left" w:pos="1134"/>
        </w:tabs>
        <w:spacing w:after="0" w:line="360" w:lineRule="auto"/>
        <w:ind w:left="0" w:firstLine="567"/>
        <w:contextualSpacing/>
        <w:jc w:val="both"/>
        <w:textAlignment w:val="baseline"/>
        <w:rPr>
          <w:rStyle w:val="element-citation"/>
          <w:rFonts w:ascii="Times New Roman" w:hAnsi="Times New Roman"/>
          <w:sz w:val="28"/>
          <w:szCs w:val="28"/>
          <w:lang w:val="en-US"/>
        </w:rPr>
      </w:pPr>
      <w:r w:rsidRPr="00AA6C27">
        <w:rPr>
          <w:rFonts w:ascii="Times New Roman" w:hAnsi="Times New Roman"/>
          <w:sz w:val="28"/>
          <w:szCs w:val="28"/>
          <w:lang w:val="en-US"/>
        </w:rPr>
        <w:t xml:space="preserve"> </w:t>
      </w:r>
      <w:bookmarkStart w:id="8" w:name="_Ref393838335"/>
      <w:r w:rsidRPr="00AA6C27">
        <w:rPr>
          <w:rStyle w:val="element-citation"/>
          <w:rFonts w:ascii="Times New Roman" w:hAnsi="Times New Roman"/>
          <w:sz w:val="28"/>
          <w:szCs w:val="28"/>
          <w:lang w:val="en-US"/>
        </w:rPr>
        <w:t xml:space="preserve">Simrén M., Barbara G., Flint H.J., Spiegel B.M. et al. Intestinal microbiota in functional bowel disorders: a </w:t>
      </w:r>
      <w:smartTag w:uri="urn:schemas-microsoft-com:office:smarttags" w:element="City">
        <w:r w:rsidRPr="00AA6C27">
          <w:rPr>
            <w:rStyle w:val="element-citation"/>
            <w:rFonts w:ascii="Times New Roman" w:hAnsi="Times New Roman"/>
            <w:sz w:val="28"/>
            <w:szCs w:val="28"/>
            <w:lang w:val="en-US"/>
          </w:rPr>
          <w:t>Rome</w:t>
        </w:r>
      </w:smartTag>
      <w:r w:rsidRPr="00AA6C27">
        <w:rPr>
          <w:rStyle w:val="element-citation"/>
          <w:rFonts w:ascii="Times New Roman" w:hAnsi="Times New Roman"/>
          <w:sz w:val="28"/>
          <w:szCs w:val="28"/>
          <w:lang w:val="en-US"/>
        </w:rPr>
        <w:t xml:space="preserve"> foundation report / M. Simrén, G. Barbara, H.J. Flint, B.M. Spiegel et al. // </w:t>
      </w:r>
      <w:r w:rsidRPr="00AA6C27">
        <w:rPr>
          <w:rStyle w:val="ref-journal"/>
          <w:rFonts w:ascii="Times New Roman" w:hAnsi="Times New Roman"/>
          <w:sz w:val="28"/>
          <w:szCs w:val="28"/>
          <w:lang w:val="en-US"/>
        </w:rPr>
        <w:t xml:space="preserve">Gut. – </w:t>
      </w:r>
      <w:r w:rsidRPr="00AA6C27">
        <w:rPr>
          <w:rStyle w:val="element-citation"/>
          <w:rFonts w:ascii="Times New Roman" w:hAnsi="Times New Roman"/>
          <w:sz w:val="28"/>
          <w:szCs w:val="28"/>
          <w:lang w:val="en-US"/>
        </w:rPr>
        <w:t>2013. – Vol. </w:t>
      </w:r>
      <w:r w:rsidRPr="00AA6C27">
        <w:rPr>
          <w:rStyle w:val="ref-vol"/>
          <w:rFonts w:ascii="Times New Roman" w:hAnsi="Times New Roman"/>
          <w:sz w:val="28"/>
          <w:szCs w:val="28"/>
          <w:lang w:val="en-US"/>
        </w:rPr>
        <w:t>62. – P. </w:t>
      </w:r>
      <w:r w:rsidRPr="00AA6C27">
        <w:rPr>
          <w:rStyle w:val="element-citation"/>
          <w:rFonts w:ascii="Times New Roman" w:hAnsi="Times New Roman"/>
          <w:sz w:val="28"/>
          <w:szCs w:val="28"/>
          <w:lang w:val="en-US"/>
        </w:rPr>
        <w:t>159–176.</w:t>
      </w:r>
      <w:bookmarkEnd w:id="8"/>
    </w:p>
    <w:p w:rsidR="00D46E90" w:rsidRPr="00AA6C27" w:rsidRDefault="00D46E90" w:rsidP="00D46E90">
      <w:pPr>
        <w:numPr>
          <w:ilvl w:val="0"/>
          <w:numId w:val="2"/>
        </w:numPr>
        <w:shd w:val="clear" w:color="auto" w:fill="FFFFFF"/>
        <w:tabs>
          <w:tab w:val="left" w:pos="0"/>
          <w:tab w:val="left" w:pos="1134"/>
        </w:tabs>
        <w:spacing w:after="0" w:line="360" w:lineRule="auto"/>
        <w:ind w:left="0" w:firstLine="567"/>
        <w:contextualSpacing/>
        <w:jc w:val="both"/>
        <w:rPr>
          <w:rFonts w:ascii="Times New Roman" w:hAnsi="Times New Roman"/>
          <w:sz w:val="28"/>
          <w:szCs w:val="28"/>
          <w:lang w:val="en-US"/>
        </w:rPr>
      </w:pPr>
      <w:bookmarkStart w:id="9" w:name="_Ref393838351"/>
      <w:r w:rsidRPr="001E046C">
        <w:rPr>
          <w:rFonts w:ascii="Times New Roman" w:hAnsi="Times New Roman"/>
          <w:sz w:val="28"/>
          <w:szCs w:val="28"/>
          <w:lang w:val="nb-NO"/>
        </w:rPr>
        <w:t xml:space="preserve">Ohman L., Stridsberg M., Isaksson S. et al. </w:t>
      </w:r>
      <w:r w:rsidRPr="00AA6C27">
        <w:rPr>
          <w:rFonts w:ascii="Times New Roman" w:hAnsi="Times New Roman"/>
          <w:sz w:val="28"/>
          <w:szCs w:val="28"/>
          <w:lang w:val="en-US"/>
        </w:rPr>
        <w:t xml:space="preserve">Altered levels of fecal chromogranins and secretogranins in IBS: relevance for pathophysiology and symptoms? / L. Ohman, M. Stridsberg, </w:t>
      </w:r>
      <w:r w:rsidRPr="00AA6C27">
        <w:rPr>
          <w:rFonts w:ascii="Times New Roman" w:hAnsi="Times New Roman"/>
          <w:sz w:val="28"/>
          <w:szCs w:val="28"/>
          <w:lang w:val="en-US"/>
        </w:rPr>
        <w:lastRenderedPageBreak/>
        <w:t>S. Isaksson et al. // Am. J. Gastroenterol. – 2012. -  Vol.107. – P.440–447.</w:t>
      </w:r>
      <w:bookmarkEnd w:id="9"/>
    </w:p>
    <w:p w:rsidR="00D46E90" w:rsidRPr="00AA6C27" w:rsidRDefault="00D46E90" w:rsidP="00D46E90">
      <w:pPr>
        <w:numPr>
          <w:ilvl w:val="0"/>
          <w:numId w:val="2"/>
        </w:numPr>
        <w:shd w:val="clear" w:color="auto" w:fill="FFFFFF"/>
        <w:tabs>
          <w:tab w:val="left" w:pos="0"/>
          <w:tab w:val="left" w:pos="1134"/>
        </w:tabs>
        <w:spacing w:after="0" w:line="360" w:lineRule="auto"/>
        <w:ind w:left="0" w:firstLine="567"/>
        <w:contextualSpacing/>
        <w:jc w:val="both"/>
        <w:rPr>
          <w:rFonts w:ascii="Times New Roman" w:hAnsi="Times New Roman"/>
          <w:sz w:val="28"/>
          <w:szCs w:val="28"/>
          <w:lang w:val="en-US"/>
        </w:rPr>
      </w:pPr>
      <w:bookmarkStart w:id="10" w:name="_Ref393838363"/>
      <w:r w:rsidRPr="00AA6C27">
        <w:rPr>
          <w:rStyle w:val="element-citation"/>
          <w:rFonts w:ascii="Times New Roman" w:hAnsi="Times New Roman"/>
          <w:sz w:val="28"/>
          <w:szCs w:val="28"/>
          <w:lang w:val="en-US"/>
        </w:rPr>
        <w:t xml:space="preserve">Occhipinti K., Smith J.W. Irritable bowel syndrome: a review and update / K. Occhipinti, J.W. Smith // </w:t>
      </w:r>
      <w:r w:rsidRPr="00AA6C27">
        <w:rPr>
          <w:rStyle w:val="ref-journal"/>
          <w:rFonts w:ascii="Times New Roman" w:hAnsi="Times New Roman"/>
          <w:sz w:val="28"/>
          <w:szCs w:val="28"/>
          <w:lang w:val="en-US"/>
        </w:rPr>
        <w:t xml:space="preserve">Clin. </w:t>
      </w:r>
      <w:smartTag w:uri="urn:schemas-microsoft-com:office:smarttags" w:element="City">
        <w:r w:rsidRPr="00AA6C27">
          <w:rPr>
            <w:rStyle w:val="ref-journal"/>
            <w:rFonts w:ascii="Times New Roman" w:hAnsi="Times New Roman"/>
            <w:sz w:val="28"/>
            <w:szCs w:val="28"/>
            <w:lang w:val="en-US"/>
          </w:rPr>
          <w:t>Colon</w:t>
        </w:r>
      </w:smartTag>
      <w:r w:rsidRPr="00AA6C27">
        <w:rPr>
          <w:rStyle w:val="ref-journal"/>
          <w:rFonts w:ascii="Times New Roman" w:hAnsi="Times New Roman"/>
          <w:sz w:val="28"/>
          <w:szCs w:val="28"/>
          <w:lang w:val="en-US"/>
        </w:rPr>
        <w:t xml:space="preserve">. Rectal. Surg. – </w:t>
      </w:r>
      <w:r w:rsidRPr="00AA6C27">
        <w:rPr>
          <w:rStyle w:val="element-citation"/>
          <w:rFonts w:ascii="Times New Roman" w:hAnsi="Times New Roman"/>
          <w:sz w:val="28"/>
          <w:szCs w:val="28"/>
          <w:lang w:val="en-US"/>
        </w:rPr>
        <w:t>2012. Vol.</w:t>
      </w:r>
      <w:r w:rsidRPr="00AA6C27">
        <w:rPr>
          <w:rStyle w:val="ref-vol"/>
          <w:rFonts w:ascii="Times New Roman" w:hAnsi="Times New Roman"/>
          <w:sz w:val="28"/>
          <w:szCs w:val="28"/>
          <w:lang w:val="en-US"/>
        </w:rPr>
        <w:t>25. – P. </w:t>
      </w:r>
      <w:r w:rsidRPr="00AA6C27">
        <w:rPr>
          <w:rStyle w:val="element-citation"/>
          <w:rFonts w:ascii="Times New Roman" w:hAnsi="Times New Roman"/>
          <w:sz w:val="28"/>
          <w:szCs w:val="28"/>
          <w:lang w:val="en-US"/>
        </w:rPr>
        <w:t>46–52</w:t>
      </w:r>
      <w:r w:rsidRPr="00AA6C27">
        <w:rPr>
          <w:rFonts w:ascii="Times New Roman" w:hAnsi="Times New Roman"/>
          <w:sz w:val="28"/>
          <w:szCs w:val="28"/>
          <w:lang w:val="en-US"/>
        </w:rPr>
        <w:t>.</w:t>
      </w:r>
      <w:bookmarkEnd w:id="10"/>
    </w:p>
    <w:p w:rsidR="00D46E90" w:rsidRPr="00D46E90" w:rsidRDefault="00D46E90" w:rsidP="00D46E90">
      <w:pPr>
        <w:numPr>
          <w:ilvl w:val="0"/>
          <w:numId w:val="2"/>
        </w:numPr>
        <w:shd w:val="clear" w:color="auto" w:fill="FFFFFF"/>
        <w:tabs>
          <w:tab w:val="left" w:pos="0"/>
          <w:tab w:val="left" w:pos="1134"/>
        </w:tabs>
        <w:spacing w:after="0" w:line="360" w:lineRule="auto"/>
        <w:ind w:left="0" w:firstLine="567"/>
        <w:contextualSpacing/>
        <w:jc w:val="both"/>
        <w:textAlignment w:val="baseline"/>
        <w:rPr>
          <w:rFonts w:ascii="Times New Roman" w:hAnsi="Times New Roman"/>
          <w:bCs/>
          <w:sz w:val="28"/>
          <w:szCs w:val="28"/>
          <w:lang w:val="en-US"/>
        </w:rPr>
      </w:pPr>
      <w:bookmarkStart w:id="11" w:name="_Ref393838957"/>
      <w:r w:rsidRPr="00D46E90">
        <w:rPr>
          <w:rFonts w:ascii="Times New Roman" w:hAnsi="Times New Roman"/>
          <w:color w:val="000000"/>
          <w:sz w:val="28"/>
          <w:szCs w:val="28"/>
          <w:lang w:val="en-US"/>
        </w:rPr>
        <w:t>Zacharenko S.</w:t>
      </w:r>
      <w:r w:rsidRPr="00AA6C27">
        <w:rPr>
          <w:rFonts w:ascii="Times New Roman" w:hAnsi="Times New Roman"/>
          <w:color w:val="000000"/>
          <w:sz w:val="28"/>
          <w:szCs w:val="28"/>
        </w:rPr>
        <w:t>М</w:t>
      </w:r>
      <w:r w:rsidRPr="00D46E90">
        <w:rPr>
          <w:rFonts w:ascii="Times New Roman" w:hAnsi="Times New Roman"/>
          <w:color w:val="000000"/>
          <w:sz w:val="28"/>
          <w:szCs w:val="28"/>
          <w:lang w:val="en-US"/>
        </w:rPr>
        <w:t>. Enterososption in the praxis of the infectionist /</w:t>
      </w:r>
      <w:r w:rsidRPr="00AA6C27">
        <w:rPr>
          <w:rFonts w:ascii="Times New Roman" w:hAnsi="Times New Roman"/>
          <w:color w:val="000000"/>
          <w:sz w:val="28"/>
          <w:szCs w:val="28"/>
          <w:lang w:val="en-US"/>
        </w:rPr>
        <w:t> </w:t>
      </w:r>
      <w:r>
        <w:rPr>
          <w:rFonts w:ascii="Times New Roman" w:hAnsi="Times New Roman"/>
          <w:color w:val="000000"/>
          <w:sz w:val="28"/>
          <w:szCs w:val="28"/>
          <w:lang w:val="en-US"/>
        </w:rPr>
        <w:t>S.M.Zacharenko</w:t>
      </w:r>
      <w:r w:rsidRPr="00D46E90">
        <w:rPr>
          <w:rFonts w:ascii="Times New Roman" w:hAnsi="Times New Roman"/>
          <w:color w:val="000000"/>
          <w:sz w:val="28"/>
          <w:szCs w:val="28"/>
          <w:lang w:val="en-US"/>
        </w:rPr>
        <w:t xml:space="preserve"> // Russ Med Journ,</w:t>
      </w:r>
      <w:r w:rsidRPr="00AA6C27">
        <w:rPr>
          <w:rFonts w:ascii="Times New Roman" w:hAnsi="Times New Roman"/>
          <w:color w:val="000000"/>
          <w:sz w:val="28"/>
          <w:szCs w:val="28"/>
          <w:lang w:val="en-US"/>
        </w:rPr>
        <w:t> </w:t>
      </w:r>
      <w:r w:rsidRPr="00D46E90">
        <w:rPr>
          <w:rFonts w:ascii="Times New Roman" w:hAnsi="Times New Roman"/>
          <w:sz w:val="28"/>
          <w:szCs w:val="28"/>
          <w:lang w:val="en-US"/>
        </w:rPr>
        <w:t>18</w:t>
      </w:r>
      <w:bookmarkStart w:id="12" w:name="_Ref393838983"/>
      <w:bookmarkEnd w:id="11"/>
    </w:p>
    <w:p w:rsidR="00D46E90" w:rsidRPr="00D46E90" w:rsidRDefault="00D46E90" w:rsidP="00D46E90">
      <w:pPr>
        <w:numPr>
          <w:ilvl w:val="0"/>
          <w:numId w:val="2"/>
        </w:numPr>
        <w:shd w:val="clear" w:color="auto" w:fill="FFFFFF"/>
        <w:tabs>
          <w:tab w:val="left" w:pos="0"/>
          <w:tab w:val="left" w:pos="1134"/>
        </w:tabs>
        <w:spacing w:after="0" w:line="360" w:lineRule="auto"/>
        <w:ind w:left="0" w:firstLine="567"/>
        <w:contextualSpacing/>
        <w:jc w:val="both"/>
        <w:textAlignment w:val="baseline"/>
        <w:rPr>
          <w:rFonts w:ascii="Times New Roman" w:hAnsi="Times New Roman"/>
          <w:bCs/>
          <w:sz w:val="28"/>
          <w:szCs w:val="28"/>
          <w:lang w:val="en-US"/>
        </w:rPr>
      </w:pPr>
      <w:r w:rsidRPr="00D46E90">
        <w:rPr>
          <w:rFonts w:ascii="Times New Roman" w:hAnsi="Times New Roman"/>
          <w:sz w:val="28"/>
          <w:szCs w:val="28"/>
          <w:shd w:val="clear" w:color="auto" w:fill="FFFFFF"/>
          <w:lang w:val="en-US"/>
        </w:rPr>
        <w:t>Nikolaev V.G., Strelko V</w:t>
      </w:r>
      <w:r>
        <w:rPr>
          <w:rFonts w:ascii="Times New Roman" w:hAnsi="Times New Roman"/>
          <w:sz w:val="28"/>
          <w:szCs w:val="28"/>
          <w:shd w:val="clear" w:color="auto" w:fill="FFFFFF"/>
          <w:lang w:val="en-US"/>
        </w:rPr>
        <w:t>.V</w:t>
      </w:r>
      <w:r w:rsidRPr="00D46E90">
        <w:rPr>
          <w:rFonts w:ascii="Times New Roman" w:hAnsi="Times New Roman"/>
          <w:sz w:val="28"/>
          <w:szCs w:val="28"/>
          <w:shd w:val="clear" w:color="auto" w:fill="FFFFFF"/>
          <w:lang w:val="en-US"/>
        </w:rPr>
        <w:t xml:space="preserve">., Korovin </w:t>
      </w:r>
      <w:r>
        <w:rPr>
          <w:rFonts w:ascii="Times New Roman" w:hAnsi="Times New Roman"/>
          <w:sz w:val="28"/>
          <w:szCs w:val="28"/>
          <w:shd w:val="clear" w:color="auto" w:fill="FFFFFF"/>
          <w:lang w:val="en-US"/>
        </w:rPr>
        <w:t>Yu</w:t>
      </w:r>
      <w:r w:rsidRPr="00D46E90">
        <w:rPr>
          <w:rFonts w:ascii="Times New Roman" w:hAnsi="Times New Roman"/>
          <w:sz w:val="28"/>
          <w:szCs w:val="28"/>
          <w:shd w:val="clear" w:color="auto" w:fill="FFFFFF"/>
          <w:lang w:val="en-US"/>
        </w:rPr>
        <w:t>.F. et</w:t>
      </w:r>
      <w:r>
        <w:rPr>
          <w:rFonts w:ascii="Times New Roman" w:hAnsi="Times New Roman"/>
          <w:sz w:val="28"/>
          <w:szCs w:val="28"/>
          <w:shd w:val="clear" w:color="auto" w:fill="FFFFFF"/>
          <w:lang w:val="en-US"/>
        </w:rPr>
        <w:t xml:space="preserve"> al</w:t>
      </w:r>
      <w:r w:rsidRPr="00D46E90">
        <w:rPr>
          <w:rFonts w:ascii="Times New Roman" w:hAnsi="Times New Roman"/>
          <w:sz w:val="28"/>
          <w:szCs w:val="28"/>
          <w:shd w:val="clear" w:color="auto" w:fill="FFFFFF"/>
          <w:lang w:val="en-US"/>
        </w:rPr>
        <w:t>. Theoretic basis and practical application of enterosorption method / V.</w:t>
      </w:r>
      <w:r>
        <w:rPr>
          <w:rFonts w:ascii="Times New Roman" w:hAnsi="Times New Roman"/>
          <w:sz w:val="28"/>
          <w:szCs w:val="28"/>
          <w:shd w:val="clear" w:color="auto" w:fill="FFFFFF"/>
          <w:lang w:val="en-US"/>
        </w:rPr>
        <w:t>G.Nikolaev</w:t>
      </w:r>
      <w:r w:rsidRPr="00D46E90">
        <w:rPr>
          <w:rFonts w:ascii="Times New Roman" w:hAnsi="Times New Roman"/>
          <w:sz w:val="28"/>
          <w:szCs w:val="28"/>
          <w:shd w:val="clear" w:color="auto" w:fill="FFFFFF"/>
          <w:lang w:val="en-US"/>
        </w:rPr>
        <w:t>, V.</w:t>
      </w:r>
      <w:r>
        <w:rPr>
          <w:rFonts w:ascii="Times New Roman" w:hAnsi="Times New Roman"/>
          <w:sz w:val="28"/>
          <w:szCs w:val="28"/>
          <w:shd w:val="clear" w:color="auto" w:fill="FFFFFF"/>
          <w:lang w:val="en-US"/>
        </w:rPr>
        <w:t>V.Strelko</w:t>
      </w:r>
      <w:r w:rsidRPr="00D46E90">
        <w:rPr>
          <w:rFonts w:ascii="Times New Roman" w:hAnsi="Times New Roman"/>
          <w:sz w:val="28"/>
          <w:szCs w:val="28"/>
          <w:shd w:val="clear" w:color="auto" w:fill="FFFFFF"/>
          <w:lang w:val="en-US"/>
        </w:rPr>
        <w:t>, Yu</w:t>
      </w:r>
      <w:r>
        <w:rPr>
          <w:rFonts w:ascii="Times New Roman" w:hAnsi="Times New Roman"/>
          <w:sz w:val="28"/>
          <w:szCs w:val="28"/>
          <w:shd w:val="clear" w:color="auto" w:fill="FFFFFF"/>
          <w:lang w:val="en-US"/>
        </w:rPr>
        <w:t xml:space="preserve">.F.Korovin </w:t>
      </w:r>
      <w:r w:rsidRPr="00D46E90">
        <w:rPr>
          <w:rFonts w:ascii="Times New Roman" w:hAnsi="Times New Roman"/>
          <w:sz w:val="28"/>
          <w:szCs w:val="28"/>
          <w:shd w:val="clear" w:color="auto" w:fill="FFFFFF"/>
          <w:lang w:val="en-US"/>
        </w:rPr>
        <w:t>// Sorption methods of detoxification and immune correction in the medicine: Report theses. – Kharkov, 1982. – P.112-114.</w:t>
      </w:r>
      <w:bookmarkEnd w:id="12"/>
      <w:r w:rsidRPr="00D46E90">
        <w:rPr>
          <w:rFonts w:ascii="Times New Roman" w:hAnsi="Times New Roman"/>
          <w:sz w:val="28"/>
          <w:szCs w:val="28"/>
          <w:shd w:val="clear" w:color="auto" w:fill="FFFFFF"/>
          <w:lang w:val="en-US"/>
        </w:rPr>
        <w:t xml:space="preserve"> </w:t>
      </w:r>
    </w:p>
    <w:p w:rsidR="00D46E90" w:rsidRPr="00D46E90" w:rsidRDefault="00D46E90" w:rsidP="00D46E90">
      <w:pPr>
        <w:numPr>
          <w:ilvl w:val="0"/>
          <w:numId w:val="2"/>
        </w:numPr>
        <w:tabs>
          <w:tab w:val="left" w:pos="0"/>
          <w:tab w:val="left" w:pos="1134"/>
        </w:tabs>
        <w:spacing w:after="0" w:line="360" w:lineRule="auto"/>
        <w:ind w:left="0" w:firstLine="567"/>
        <w:contextualSpacing/>
        <w:jc w:val="both"/>
        <w:rPr>
          <w:rFonts w:ascii="Times New Roman" w:hAnsi="Times New Roman"/>
          <w:bCs/>
          <w:sz w:val="28"/>
          <w:szCs w:val="28"/>
          <w:lang w:val="en-US"/>
        </w:rPr>
      </w:pPr>
      <w:bookmarkStart w:id="13" w:name="_Ref393838985"/>
      <w:r w:rsidRPr="00D46E90">
        <w:rPr>
          <w:rFonts w:ascii="Times New Roman" w:hAnsi="Times New Roman"/>
          <w:sz w:val="28"/>
          <w:szCs w:val="28"/>
          <w:shd w:val="clear" w:color="auto" w:fill="FFFFFF"/>
          <w:lang w:val="en-US"/>
        </w:rPr>
        <w:t>Nikolaev V.G</w:t>
      </w:r>
      <w:r w:rsidRPr="00D46E90">
        <w:rPr>
          <w:rFonts w:ascii="Times New Roman" w:hAnsi="Times New Roman"/>
          <w:bCs/>
          <w:sz w:val="28"/>
          <w:szCs w:val="28"/>
          <w:lang w:val="en-US"/>
        </w:rPr>
        <w:t>., Mikhlailovsky S.V., Gurina N.</w:t>
      </w:r>
      <w:r w:rsidRPr="00AA6C27">
        <w:rPr>
          <w:rFonts w:ascii="Times New Roman" w:hAnsi="Times New Roman"/>
          <w:bCs/>
          <w:sz w:val="28"/>
          <w:szCs w:val="28"/>
        </w:rPr>
        <w:t>М</w:t>
      </w:r>
      <w:r w:rsidRPr="00D46E90">
        <w:rPr>
          <w:rFonts w:ascii="Times New Roman" w:hAnsi="Times New Roman"/>
          <w:bCs/>
          <w:sz w:val="28"/>
          <w:szCs w:val="28"/>
          <w:lang w:val="en-US"/>
        </w:rPr>
        <w:t>. Modern enterosorbents and their mechanisms of action /</w:t>
      </w:r>
      <w:r>
        <w:rPr>
          <w:rFonts w:ascii="Times New Roman" w:hAnsi="Times New Roman"/>
          <w:bCs/>
          <w:sz w:val="28"/>
          <w:szCs w:val="28"/>
          <w:lang w:val="en-US"/>
        </w:rPr>
        <w:t>V.G</w:t>
      </w:r>
      <w:r w:rsidRPr="00D46E90">
        <w:rPr>
          <w:rFonts w:ascii="Times New Roman" w:hAnsi="Times New Roman"/>
          <w:bCs/>
          <w:sz w:val="28"/>
          <w:szCs w:val="28"/>
          <w:lang w:val="en-US"/>
        </w:rPr>
        <w:t xml:space="preserve">. </w:t>
      </w:r>
      <w:r w:rsidRPr="00D46E90">
        <w:rPr>
          <w:rFonts w:ascii="Times New Roman" w:hAnsi="Times New Roman"/>
          <w:sz w:val="28"/>
          <w:szCs w:val="28"/>
          <w:shd w:val="clear" w:color="auto" w:fill="FFFFFF"/>
          <w:lang w:val="en-US"/>
        </w:rPr>
        <w:t>Nikolaev</w:t>
      </w:r>
      <w:r w:rsidRPr="00D46E90">
        <w:rPr>
          <w:rFonts w:ascii="Times New Roman" w:hAnsi="Times New Roman"/>
          <w:bCs/>
          <w:sz w:val="28"/>
          <w:szCs w:val="28"/>
          <w:lang w:val="en-US"/>
        </w:rPr>
        <w:t xml:space="preserve">, </w:t>
      </w:r>
      <w:r>
        <w:rPr>
          <w:rFonts w:ascii="Times New Roman" w:hAnsi="Times New Roman"/>
          <w:bCs/>
          <w:sz w:val="28"/>
          <w:szCs w:val="28"/>
          <w:lang w:val="en-US"/>
        </w:rPr>
        <w:t>S</w:t>
      </w:r>
      <w:r w:rsidRPr="00D46E90">
        <w:rPr>
          <w:rFonts w:ascii="Times New Roman" w:hAnsi="Times New Roman"/>
          <w:bCs/>
          <w:sz w:val="28"/>
          <w:szCs w:val="28"/>
          <w:lang w:val="en-US"/>
        </w:rPr>
        <w:t>.</w:t>
      </w:r>
      <w:r>
        <w:rPr>
          <w:rFonts w:ascii="Times New Roman" w:hAnsi="Times New Roman"/>
          <w:bCs/>
          <w:sz w:val="28"/>
          <w:szCs w:val="28"/>
          <w:lang w:val="en-US"/>
        </w:rPr>
        <w:t>V</w:t>
      </w:r>
      <w:r w:rsidRPr="00D46E90">
        <w:rPr>
          <w:rFonts w:ascii="Times New Roman" w:hAnsi="Times New Roman"/>
          <w:bCs/>
          <w:sz w:val="28"/>
          <w:szCs w:val="28"/>
          <w:lang w:val="en-US"/>
        </w:rPr>
        <w:t>. Mikhlailovsky , N.</w:t>
      </w:r>
      <w:r w:rsidRPr="00AA6C27">
        <w:rPr>
          <w:rFonts w:ascii="Times New Roman" w:hAnsi="Times New Roman"/>
          <w:bCs/>
          <w:sz w:val="28"/>
          <w:szCs w:val="28"/>
        </w:rPr>
        <w:t>М</w:t>
      </w:r>
      <w:r w:rsidRPr="00D46E90">
        <w:rPr>
          <w:rFonts w:ascii="Times New Roman" w:hAnsi="Times New Roman"/>
          <w:bCs/>
          <w:sz w:val="28"/>
          <w:szCs w:val="28"/>
          <w:lang w:val="en-US"/>
        </w:rPr>
        <w:t>. Gu</w:t>
      </w:r>
      <w:r>
        <w:rPr>
          <w:rFonts w:ascii="Times New Roman" w:hAnsi="Times New Roman"/>
          <w:bCs/>
          <w:sz w:val="28"/>
          <w:szCs w:val="28"/>
          <w:lang w:val="en-US"/>
        </w:rPr>
        <w:t>rina</w:t>
      </w:r>
      <w:r w:rsidRPr="00D46E90">
        <w:rPr>
          <w:rFonts w:ascii="Times New Roman" w:hAnsi="Times New Roman"/>
          <w:bCs/>
          <w:sz w:val="28"/>
          <w:szCs w:val="28"/>
          <w:lang w:val="en-US"/>
        </w:rPr>
        <w:t xml:space="preserve"> // </w:t>
      </w:r>
      <w:r>
        <w:rPr>
          <w:rFonts w:ascii="Times New Roman" w:hAnsi="Times New Roman"/>
          <w:bCs/>
          <w:sz w:val="28"/>
          <w:szCs w:val="28"/>
          <w:lang w:val="de-AT"/>
        </w:rPr>
        <w:t>Efferent therapy</w:t>
      </w:r>
      <w:r w:rsidRPr="00D46E90">
        <w:rPr>
          <w:rFonts w:ascii="Times New Roman" w:hAnsi="Times New Roman"/>
          <w:bCs/>
          <w:sz w:val="28"/>
          <w:szCs w:val="28"/>
          <w:lang w:val="en-US"/>
        </w:rPr>
        <w:t>. — 2005. — № 4</w:t>
      </w:r>
      <w:bookmarkEnd w:id="13"/>
      <w:r w:rsidRPr="00D46E90">
        <w:rPr>
          <w:rFonts w:ascii="Times New Roman" w:hAnsi="Times New Roman"/>
          <w:bCs/>
          <w:sz w:val="28"/>
          <w:szCs w:val="28"/>
          <w:lang w:val="en-US"/>
        </w:rPr>
        <w:t>.</w:t>
      </w:r>
    </w:p>
    <w:p w:rsidR="00C237A4" w:rsidRPr="00D46E90" w:rsidRDefault="00C237A4" w:rsidP="00DF19D2">
      <w:pPr>
        <w:rPr>
          <w:rFonts w:asciiTheme="majorBidi" w:hAnsiTheme="majorBidi" w:cstheme="majorBidi"/>
          <w:sz w:val="28"/>
          <w:szCs w:val="28"/>
          <w:lang w:val="en-US"/>
        </w:rPr>
      </w:pPr>
    </w:p>
    <w:sectPr w:rsidR="00C237A4" w:rsidRPr="00D46E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81484D"/>
    <w:multiLevelType w:val="hybridMultilevel"/>
    <w:tmpl w:val="60CA7CA6"/>
    <w:lvl w:ilvl="0" w:tplc="49AA85D2">
      <w:start w:val="1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8A47E3F"/>
    <w:multiLevelType w:val="hybridMultilevel"/>
    <w:tmpl w:val="1E62FE82"/>
    <w:lvl w:ilvl="0" w:tplc="0419000F">
      <w:start w:val="1"/>
      <w:numFmt w:val="decimal"/>
      <w:lvlText w:val="%1."/>
      <w:lvlJc w:val="left"/>
      <w:pPr>
        <w:ind w:left="900" w:hanging="360"/>
      </w:pPr>
      <w:rPr>
        <w:rFonts w:cs="Times New Roman"/>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AC1"/>
    <w:rsid w:val="00030CDF"/>
    <w:rsid w:val="000479F2"/>
    <w:rsid w:val="000574B0"/>
    <w:rsid w:val="00075E27"/>
    <w:rsid w:val="000A436E"/>
    <w:rsid w:val="000B0910"/>
    <w:rsid w:val="000E4559"/>
    <w:rsid w:val="000F0E33"/>
    <w:rsid w:val="00124A8F"/>
    <w:rsid w:val="001602B8"/>
    <w:rsid w:val="0017786B"/>
    <w:rsid w:val="001D421C"/>
    <w:rsid w:val="001E2380"/>
    <w:rsid w:val="001E2BCD"/>
    <w:rsid w:val="002078F4"/>
    <w:rsid w:val="00211D6A"/>
    <w:rsid w:val="002575C8"/>
    <w:rsid w:val="002628C6"/>
    <w:rsid w:val="002719BB"/>
    <w:rsid w:val="0027775B"/>
    <w:rsid w:val="00297768"/>
    <w:rsid w:val="002A0386"/>
    <w:rsid w:val="002E0236"/>
    <w:rsid w:val="002E3595"/>
    <w:rsid w:val="002E773E"/>
    <w:rsid w:val="002E787E"/>
    <w:rsid w:val="00302DED"/>
    <w:rsid w:val="00304D0B"/>
    <w:rsid w:val="003835B4"/>
    <w:rsid w:val="0038754C"/>
    <w:rsid w:val="00392319"/>
    <w:rsid w:val="003953AA"/>
    <w:rsid w:val="003C0EA2"/>
    <w:rsid w:val="003D0485"/>
    <w:rsid w:val="003D590B"/>
    <w:rsid w:val="003D7DBE"/>
    <w:rsid w:val="004122A8"/>
    <w:rsid w:val="0041623D"/>
    <w:rsid w:val="00456230"/>
    <w:rsid w:val="004773EA"/>
    <w:rsid w:val="004A188B"/>
    <w:rsid w:val="004A64C5"/>
    <w:rsid w:val="004B6FD7"/>
    <w:rsid w:val="004D7FDB"/>
    <w:rsid w:val="00501FFE"/>
    <w:rsid w:val="005021F6"/>
    <w:rsid w:val="00502A40"/>
    <w:rsid w:val="005139F9"/>
    <w:rsid w:val="005324A2"/>
    <w:rsid w:val="00541A45"/>
    <w:rsid w:val="00563639"/>
    <w:rsid w:val="00566593"/>
    <w:rsid w:val="005670DD"/>
    <w:rsid w:val="005752A0"/>
    <w:rsid w:val="00580DC1"/>
    <w:rsid w:val="005A29E8"/>
    <w:rsid w:val="005A5021"/>
    <w:rsid w:val="00605489"/>
    <w:rsid w:val="006177A4"/>
    <w:rsid w:val="00624E86"/>
    <w:rsid w:val="006357C7"/>
    <w:rsid w:val="00653110"/>
    <w:rsid w:val="00682468"/>
    <w:rsid w:val="006C7F55"/>
    <w:rsid w:val="006F7D29"/>
    <w:rsid w:val="007740A6"/>
    <w:rsid w:val="007A21F6"/>
    <w:rsid w:val="008122E2"/>
    <w:rsid w:val="00846615"/>
    <w:rsid w:val="0089011A"/>
    <w:rsid w:val="008B11BE"/>
    <w:rsid w:val="008D4219"/>
    <w:rsid w:val="008E2ABC"/>
    <w:rsid w:val="00902672"/>
    <w:rsid w:val="0092758B"/>
    <w:rsid w:val="009668AB"/>
    <w:rsid w:val="009836C5"/>
    <w:rsid w:val="00995A14"/>
    <w:rsid w:val="009A3685"/>
    <w:rsid w:val="009D01ED"/>
    <w:rsid w:val="00A06A7E"/>
    <w:rsid w:val="00A16CA7"/>
    <w:rsid w:val="00A2440B"/>
    <w:rsid w:val="00A61621"/>
    <w:rsid w:val="00AB0318"/>
    <w:rsid w:val="00AC38E7"/>
    <w:rsid w:val="00B517D9"/>
    <w:rsid w:val="00B66BB9"/>
    <w:rsid w:val="00B772B4"/>
    <w:rsid w:val="00B84AC1"/>
    <w:rsid w:val="00BF4284"/>
    <w:rsid w:val="00C01AC6"/>
    <w:rsid w:val="00C237A4"/>
    <w:rsid w:val="00CA0950"/>
    <w:rsid w:val="00CC13DE"/>
    <w:rsid w:val="00CF546F"/>
    <w:rsid w:val="00D047D4"/>
    <w:rsid w:val="00D25D31"/>
    <w:rsid w:val="00D35E16"/>
    <w:rsid w:val="00D36384"/>
    <w:rsid w:val="00D46E90"/>
    <w:rsid w:val="00D632E9"/>
    <w:rsid w:val="00D932DD"/>
    <w:rsid w:val="00D95CDB"/>
    <w:rsid w:val="00DB0A76"/>
    <w:rsid w:val="00DB7AA3"/>
    <w:rsid w:val="00DC6140"/>
    <w:rsid w:val="00DD6E35"/>
    <w:rsid w:val="00DF19D2"/>
    <w:rsid w:val="00E112AE"/>
    <w:rsid w:val="00E25765"/>
    <w:rsid w:val="00E264FE"/>
    <w:rsid w:val="00E60503"/>
    <w:rsid w:val="00E74B4C"/>
    <w:rsid w:val="00E76817"/>
    <w:rsid w:val="00E82529"/>
    <w:rsid w:val="00EE0271"/>
    <w:rsid w:val="00F143D4"/>
    <w:rsid w:val="00F227B7"/>
    <w:rsid w:val="00F51F0C"/>
    <w:rsid w:val="00F562F7"/>
    <w:rsid w:val="00F665E0"/>
    <w:rsid w:val="00F811F6"/>
    <w:rsid w:val="00F83620"/>
    <w:rsid w:val="00F95A2E"/>
    <w:rsid w:val="00FA57AB"/>
    <w:rsid w:val="00FA69CF"/>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ersonName"/>
  <w:smartTagType w:namespaceuri="urn:schemas-microsoft-com:office:smarttags" w:name="place"/>
  <w:smartTagType w:namespaceuri="urn:schemas-microsoft-com:office:smarttags" w:name="country-region"/>
  <w:smartTagType w:namespaceuri="urn:schemas-microsoft-com:office:smarttags" w:name="metricconverter"/>
  <w:shapeDefaults>
    <o:shapedefaults v:ext="edit" spidmax="1026"/>
    <o:shapelayout v:ext="edit">
      <o:idmap v:ext="edit" data="1"/>
    </o:shapelayout>
  </w:shapeDefaults>
  <w:decimalSymbol w:val="."/>
  <w:listSeparator w:val=","/>
  <w15:docId w15:val="{CE2520B7-33FE-46FB-AB76-6B7748D0D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AC1"/>
    <w:pPr>
      <w:spacing w:after="200" w:line="276" w:lineRule="auto"/>
    </w:pPr>
    <w:rPr>
      <w:rFonts w:ascii="Calibri" w:eastAsia="Times New Roman" w:hAnsi="Calibri" w:cs="Times New Rom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B84AC1"/>
    <w:rPr>
      <w:rFonts w:cs="Times New Roman"/>
      <w:color w:val="0000FF"/>
      <w:u w:val="single"/>
    </w:rPr>
  </w:style>
  <w:style w:type="paragraph" w:customStyle="1" w:styleId="1">
    <w:name w:val="основной текст +1"/>
    <w:basedOn w:val="BodyTextIndent"/>
    <w:uiPriority w:val="99"/>
    <w:rsid w:val="00B84AC1"/>
    <w:pPr>
      <w:spacing w:after="0" w:line="360" w:lineRule="auto"/>
      <w:ind w:left="0" w:firstLine="567"/>
      <w:jc w:val="both"/>
    </w:pPr>
    <w:rPr>
      <w:rFonts w:ascii="Times New Roman" w:hAnsi="Times New Roman"/>
      <w:color w:val="000000"/>
      <w:sz w:val="28"/>
      <w:szCs w:val="28"/>
    </w:rPr>
  </w:style>
  <w:style w:type="character" w:customStyle="1" w:styleId="hps">
    <w:name w:val="hps"/>
    <w:basedOn w:val="DefaultParagraphFont"/>
    <w:rsid w:val="00B84AC1"/>
    <w:rPr>
      <w:rFonts w:cs="Times New Roman"/>
    </w:rPr>
  </w:style>
  <w:style w:type="paragraph" w:styleId="BodyTextIndent">
    <w:name w:val="Body Text Indent"/>
    <w:basedOn w:val="Normal"/>
    <w:link w:val="BodyTextIndentChar"/>
    <w:uiPriority w:val="99"/>
    <w:semiHidden/>
    <w:unhideWhenUsed/>
    <w:rsid w:val="00B84AC1"/>
    <w:pPr>
      <w:spacing w:after="120"/>
      <w:ind w:left="283"/>
    </w:pPr>
  </w:style>
  <w:style w:type="character" w:customStyle="1" w:styleId="BodyTextIndentChar">
    <w:name w:val="Body Text Indent Char"/>
    <w:basedOn w:val="DefaultParagraphFont"/>
    <w:link w:val="BodyTextIndent"/>
    <w:uiPriority w:val="99"/>
    <w:semiHidden/>
    <w:rsid w:val="00B84AC1"/>
    <w:rPr>
      <w:rFonts w:ascii="Calibri" w:eastAsia="Times New Roman" w:hAnsi="Calibri" w:cs="Times New Roman"/>
      <w:lang w:eastAsia="ru-RU"/>
    </w:rPr>
  </w:style>
  <w:style w:type="character" w:customStyle="1" w:styleId="go">
    <w:name w:val="go"/>
    <w:basedOn w:val="DefaultParagraphFont"/>
    <w:rsid w:val="00211D6A"/>
  </w:style>
  <w:style w:type="paragraph" w:styleId="ListParagraph">
    <w:name w:val="List Paragraph"/>
    <w:basedOn w:val="Normal"/>
    <w:uiPriority w:val="34"/>
    <w:qFormat/>
    <w:rsid w:val="00566593"/>
    <w:pPr>
      <w:spacing w:after="160" w:line="259" w:lineRule="auto"/>
      <w:ind w:left="720"/>
      <w:contextualSpacing/>
    </w:pPr>
    <w:rPr>
      <w:rFonts w:asciiTheme="minorHAnsi" w:eastAsiaTheme="minorHAnsi" w:hAnsiTheme="minorHAnsi" w:cstheme="minorBidi"/>
      <w:lang w:eastAsia="en-US"/>
    </w:rPr>
  </w:style>
  <w:style w:type="character" w:customStyle="1" w:styleId="element-citation">
    <w:name w:val="element-citation"/>
    <w:basedOn w:val="DefaultParagraphFont"/>
    <w:uiPriority w:val="99"/>
    <w:rsid w:val="00D46E90"/>
    <w:rPr>
      <w:rFonts w:cs="Times New Roman"/>
    </w:rPr>
  </w:style>
  <w:style w:type="character" w:customStyle="1" w:styleId="cit">
    <w:name w:val="cit"/>
    <w:basedOn w:val="DefaultParagraphFont"/>
    <w:uiPriority w:val="99"/>
    <w:rsid w:val="00D46E90"/>
    <w:rPr>
      <w:rFonts w:cs="Times New Roman"/>
    </w:rPr>
  </w:style>
  <w:style w:type="character" w:customStyle="1" w:styleId="ref-journal">
    <w:name w:val="ref-journal"/>
    <w:basedOn w:val="DefaultParagraphFont"/>
    <w:uiPriority w:val="99"/>
    <w:rsid w:val="00D46E90"/>
    <w:rPr>
      <w:rFonts w:cs="Times New Roman"/>
    </w:rPr>
  </w:style>
  <w:style w:type="character" w:customStyle="1" w:styleId="ref-vol">
    <w:name w:val="ref-vol"/>
    <w:basedOn w:val="DefaultParagraphFont"/>
    <w:uiPriority w:val="99"/>
    <w:rsid w:val="00D46E9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64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pushkina.anna.md@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pinsky85@yandex.ru" TargetMode="External"/><Relationship Id="rId5" Type="http://schemas.openxmlformats.org/officeDocument/2006/relationships/hyperlink" Target="mailto:rectorat@spbmapo.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3130</Words>
  <Characters>17841</Characters>
  <Application>Microsoft Office Word</Application>
  <DocSecurity>0</DocSecurity>
  <Lines>148</Lines>
  <Paragraphs>41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20930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Тамара Агафонычева</dc:creator>
  <cp:keywords/>
  <dc:description/>
  <cp:lastModifiedBy>Vladimir</cp:lastModifiedBy>
  <cp:revision>2</cp:revision>
  <dcterms:created xsi:type="dcterms:W3CDTF">2015-04-24T05:00:00Z</dcterms:created>
  <dcterms:modified xsi:type="dcterms:W3CDTF">2015-04-24T05:00:00Z</dcterms:modified>
</cp:coreProperties>
</file>